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7D70A5" w14:paraId="647750DB" w14:textId="77777777" w:rsidTr="00555103">
        <w:trPr>
          <w:trHeight w:val="568"/>
        </w:trPr>
        <w:tc>
          <w:tcPr>
            <w:tcW w:w="9016" w:type="dxa"/>
            <w:tcBorders>
              <w:top w:val="nil"/>
              <w:left w:val="nil"/>
              <w:bottom w:val="single" w:sz="4" w:space="0" w:color="auto"/>
              <w:right w:val="nil"/>
            </w:tcBorders>
          </w:tcPr>
          <w:p w14:paraId="61F739F5" w14:textId="474879D4" w:rsidR="007D70A5" w:rsidRPr="007D70A5" w:rsidRDefault="007D70A5" w:rsidP="00F244C3">
            <w:pPr>
              <w:pStyle w:val="AbstractText"/>
              <w:spacing w:after="0" w:afterAutospacing="0" w:line="276" w:lineRule="auto"/>
              <w:ind w:firstLine="0"/>
              <w:jc w:val="center"/>
              <w:rPr>
                <w:b/>
                <w:color w:val="2F5496" w:themeColor="accent1" w:themeShade="BF"/>
                <w:sz w:val="31"/>
                <w:szCs w:val="31"/>
                <w:lang w:val="en-US" w:eastAsia="ko-KR"/>
              </w:rPr>
            </w:pPr>
            <w:r w:rsidRPr="00A32C7C">
              <w:rPr>
                <w:rFonts w:cs="Times New Roman"/>
                <w:b/>
                <w:noProof/>
                <w:color w:val="231F20"/>
                <w:szCs w:val="24"/>
              </w:rPr>
              <w:t>A Title of the Article Should Be Specific and Effective</w:t>
            </w:r>
            <w:r w:rsidR="00AF1817">
              <w:rPr>
                <w:rFonts w:cs="Times New Roman"/>
                <w:b/>
                <w:noProof/>
                <w:color w:val="231F20"/>
                <w:szCs w:val="24"/>
              </w:rPr>
              <w:t xml:space="preserve"> </w:t>
            </w:r>
            <w:r w:rsidR="00AF1817" w:rsidRPr="00AF1817">
              <w:rPr>
                <w:rFonts w:cs="Times New Roman"/>
                <w:bCs/>
                <w:noProof/>
                <w:color w:val="231F20"/>
                <w:szCs w:val="24"/>
              </w:rPr>
              <w:t>(not more than 15 words)</w:t>
            </w:r>
          </w:p>
        </w:tc>
      </w:tr>
      <w:tr w:rsidR="007D70A5" w14:paraId="0BE53446" w14:textId="77777777" w:rsidTr="00D35F1C">
        <w:trPr>
          <w:trHeight w:val="558"/>
        </w:trPr>
        <w:tc>
          <w:tcPr>
            <w:tcW w:w="9016" w:type="dxa"/>
            <w:tcBorders>
              <w:top w:val="nil"/>
              <w:left w:val="nil"/>
              <w:bottom w:val="single" w:sz="4" w:space="0" w:color="auto"/>
              <w:right w:val="nil"/>
            </w:tcBorders>
          </w:tcPr>
          <w:p w14:paraId="3403ABDE" w14:textId="118199EA" w:rsidR="007D70A5" w:rsidRPr="00B14176" w:rsidRDefault="007D70A5" w:rsidP="007D70A5">
            <w:pPr>
              <w:pStyle w:val="2"/>
              <w:spacing w:before="240" w:after="240"/>
              <w:rPr>
                <w:bCs/>
                <w:color w:val="FF0000"/>
                <w:sz w:val="20"/>
              </w:rPr>
            </w:pPr>
            <w:r w:rsidRPr="00B14176">
              <w:rPr>
                <w:noProof/>
                <w:color w:val="231F20"/>
                <w:sz w:val="20"/>
              </w:rPr>
              <w:t xml:space="preserve">First Author’s </w:t>
            </w:r>
            <w:r w:rsidR="00EF061A" w:rsidRPr="00B14176">
              <w:rPr>
                <w:noProof/>
                <w:color w:val="231F20"/>
                <w:sz w:val="20"/>
              </w:rPr>
              <w:t>Name</w:t>
            </w:r>
            <w:r w:rsidR="00EF061A" w:rsidRPr="00B14176">
              <w:rPr>
                <w:color w:val="2F5496" w:themeColor="accent1" w:themeShade="BF"/>
                <w:sz w:val="20"/>
                <w:vertAlign w:val="superscript"/>
              </w:rPr>
              <w:t>1</w:t>
            </w:r>
            <w:r w:rsidRPr="00B14176">
              <w:rPr>
                <w:rFonts w:hint="eastAsia"/>
                <w:color w:val="2F5496" w:themeColor="accent1" w:themeShade="BF"/>
                <w:sz w:val="20"/>
                <w:vertAlign w:val="superscript"/>
              </w:rPr>
              <w:t>*</w:t>
            </w:r>
            <w:r w:rsidRPr="00B14176">
              <w:rPr>
                <w:noProof/>
                <w:color w:val="2F5496" w:themeColor="accent1" w:themeShade="BF"/>
                <w:spacing w:val="-2"/>
                <w:w w:val="95"/>
                <w:sz w:val="20"/>
              </w:rPr>
              <w:t>,</w:t>
            </w:r>
            <w:r w:rsidRPr="00B14176">
              <w:rPr>
                <w:rFonts w:ascii="Calibri" w:hAnsi="Calibri" w:cs="Calibri"/>
                <w:noProof/>
                <w:color w:val="2F5496" w:themeColor="accent1" w:themeShade="BF"/>
                <w:sz w:val="20"/>
              </w:rPr>
              <w:t> </w:t>
            </w:r>
            <w:r w:rsidRPr="00B14176">
              <w:rPr>
                <w:noProof/>
                <w:color w:val="231F20"/>
                <w:sz w:val="20"/>
              </w:rPr>
              <w:t xml:space="preserve">Second Author’s </w:t>
            </w:r>
            <w:r w:rsidR="00EF061A" w:rsidRPr="00B14176">
              <w:rPr>
                <w:noProof/>
                <w:color w:val="231F20"/>
                <w:sz w:val="20"/>
              </w:rPr>
              <w:t>Name</w:t>
            </w:r>
            <w:r w:rsidR="00EF061A" w:rsidRPr="00B14176">
              <w:rPr>
                <w:color w:val="2F5496" w:themeColor="accent1" w:themeShade="BF"/>
                <w:sz w:val="20"/>
                <w:vertAlign w:val="superscript"/>
              </w:rPr>
              <w:t>2</w:t>
            </w:r>
            <w:r w:rsidR="00EF061A" w:rsidRPr="00B14176">
              <w:rPr>
                <w:noProof/>
                <w:color w:val="2F5496" w:themeColor="accent1" w:themeShade="BF"/>
                <w:spacing w:val="-2"/>
                <w:w w:val="95"/>
                <w:sz w:val="20"/>
              </w:rPr>
              <w:t>,</w:t>
            </w:r>
            <w:r w:rsidR="00EF061A" w:rsidRPr="00B14176">
              <w:rPr>
                <w:rFonts w:ascii="Calibri" w:hAnsi="Calibri" w:cs="Calibri"/>
                <w:noProof/>
                <w:color w:val="2F5496" w:themeColor="accent1" w:themeShade="BF"/>
                <w:sz w:val="20"/>
              </w:rPr>
              <w:t> </w:t>
            </w:r>
            <w:r w:rsidR="00EF061A" w:rsidRPr="00B14176">
              <w:rPr>
                <w:noProof/>
                <w:color w:val="231F20"/>
                <w:sz w:val="20"/>
              </w:rPr>
              <w:t>Third Author’s Name</w:t>
            </w:r>
            <w:r w:rsidR="00EF061A" w:rsidRPr="00B14176">
              <w:rPr>
                <w:color w:val="2F5496" w:themeColor="accent1" w:themeShade="BF"/>
                <w:sz w:val="20"/>
                <w:vertAlign w:val="superscript"/>
              </w:rPr>
              <w:t>3</w:t>
            </w:r>
          </w:p>
        </w:tc>
      </w:tr>
      <w:tr w:rsidR="00EF061A" w14:paraId="5194AB3D" w14:textId="77777777" w:rsidTr="00D35F1C">
        <w:trPr>
          <w:trHeight w:val="558"/>
        </w:trPr>
        <w:tc>
          <w:tcPr>
            <w:tcW w:w="9016" w:type="dxa"/>
            <w:tcBorders>
              <w:top w:val="single" w:sz="4" w:space="0" w:color="auto"/>
              <w:left w:val="nil"/>
              <w:bottom w:val="single" w:sz="4" w:space="0" w:color="auto"/>
              <w:right w:val="nil"/>
            </w:tcBorders>
          </w:tcPr>
          <w:p w14:paraId="20C12304"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1</w:t>
            </w:r>
            <w:r w:rsidRPr="00EF061A">
              <w:rPr>
                <w:b w:val="0"/>
                <w:bCs/>
                <w:noProof/>
                <w:color w:val="231F20"/>
                <w:sz w:val="18"/>
                <w:szCs w:val="18"/>
              </w:rPr>
              <w:t>Job Title, Department, Faculty, University, Country, ORCID</w:t>
            </w:r>
          </w:p>
          <w:p w14:paraId="774BB926" w14:textId="77777777" w:rsidR="00EF061A" w:rsidRP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2</w:t>
            </w:r>
            <w:r w:rsidRPr="00EF061A">
              <w:rPr>
                <w:b w:val="0"/>
                <w:bCs/>
                <w:noProof/>
                <w:color w:val="231F20"/>
                <w:sz w:val="18"/>
                <w:szCs w:val="18"/>
              </w:rPr>
              <w:t>Job Title, Department, Faculty, University, Country, ORCID</w:t>
            </w:r>
          </w:p>
          <w:p w14:paraId="13903E06" w14:textId="77777777" w:rsidR="00EF061A" w:rsidRDefault="00EF061A" w:rsidP="00EF061A">
            <w:pPr>
              <w:pStyle w:val="2"/>
              <w:spacing w:beforeLines="0" w:afterLines="0"/>
              <w:jc w:val="left"/>
              <w:rPr>
                <w:b w:val="0"/>
                <w:bCs/>
                <w:noProof/>
                <w:color w:val="231F20"/>
                <w:sz w:val="18"/>
                <w:szCs w:val="18"/>
              </w:rPr>
            </w:pPr>
            <w:r w:rsidRPr="00EF061A">
              <w:rPr>
                <w:b w:val="0"/>
                <w:bCs/>
                <w:noProof/>
                <w:color w:val="231F20"/>
                <w:sz w:val="18"/>
                <w:szCs w:val="18"/>
                <w:vertAlign w:val="superscript"/>
              </w:rPr>
              <w:t>3</w:t>
            </w:r>
            <w:r w:rsidRPr="00EF061A">
              <w:rPr>
                <w:b w:val="0"/>
                <w:bCs/>
                <w:noProof/>
                <w:color w:val="231F20"/>
                <w:sz w:val="18"/>
                <w:szCs w:val="18"/>
              </w:rPr>
              <w:t>Job Title, Department, Faculty, University, Country, ORCID</w:t>
            </w:r>
          </w:p>
          <w:p w14:paraId="0EDEECB3" w14:textId="77777777" w:rsidR="001C20FF" w:rsidRDefault="001C20FF" w:rsidP="00EF061A">
            <w:pPr>
              <w:pStyle w:val="2"/>
              <w:spacing w:beforeLines="0" w:afterLines="0"/>
              <w:jc w:val="left"/>
              <w:rPr>
                <w:bCs/>
                <w:noProof/>
                <w:color w:val="231F20"/>
                <w:sz w:val="18"/>
                <w:szCs w:val="18"/>
              </w:rPr>
            </w:pPr>
          </w:p>
          <w:p w14:paraId="635BBDFE" w14:textId="044601C4" w:rsidR="001C20FF" w:rsidRPr="001C20FF" w:rsidRDefault="001C20FF" w:rsidP="00EF061A">
            <w:pPr>
              <w:pStyle w:val="2"/>
              <w:spacing w:beforeLines="0" w:afterLines="0"/>
              <w:jc w:val="left"/>
              <w:rPr>
                <w:b w:val="0"/>
                <w:noProof/>
                <w:color w:val="231F20"/>
                <w:sz w:val="16"/>
                <w:szCs w:val="16"/>
              </w:rPr>
            </w:pPr>
            <w:r w:rsidRPr="001C20FF">
              <w:rPr>
                <w:b w:val="0"/>
                <w:noProof/>
                <w:color w:val="231F20"/>
                <w:sz w:val="16"/>
                <w:szCs w:val="16"/>
              </w:rPr>
              <w:t xml:space="preserve">*Corresponding author: </w:t>
            </w:r>
          </w:p>
        </w:tc>
      </w:tr>
    </w:tbl>
    <w:p w14:paraId="6B56069C" w14:textId="77777777" w:rsidR="00DC756C" w:rsidRDefault="00DC756C"/>
    <w:tbl>
      <w:tblPr>
        <w:tblStyle w:val="TableGrid"/>
        <w:tblW w:w="0" w:type="auto"/>
        <w:tblLook w:val="04A0" w:firstRow="1" w:lastRow="0" w:firstColumn="1" w:lastColumn="0" w:noHBand="0" w:noVBand="1"/>
      </w:tblPr>
      <w:tblGrid>
        <w:gridCol w:w="3114"/>
        <w:gridCol w:w="5902"/>
      </w:tblGrid>
      <w:tr w:rsidR="00F43BD7" w14:paraId="509245D2" w14:textId="77777777" w:rsidTr="00491994">
        <w:tc>
          <w:tcPr>
            <w:tcW w:w="3114" w:type="dxa"/>
            <w:tcBorders>
              <w:top w:val="single" w:sz="4" w:space="0" w:color="auto"/>
              <w:left w:val="nil"/>
              <w:bottom w:val="nil"/>
              <w:right w:val="single" w:sz="4" w:space="0" w:color="auto"/>
            </w:tcBorders>
            <w:vAlign w:val="bottom"/>
          </w:tcPr>
          <w:p w14:paraId="150628F9" w14:textId="213B596C" w:rsidR="00F43BD7" w:rsidRPr="000D2BB6" w:rsidRDefault="00F43BD7" w:rsidP="00F43BD7">
            <w:pPr>
              <w:rPr>
                <w:rFonts w:ascii="Times New Roman" w:hAnsi="Times New Roman" w:cs="Times New Roman"/>
                <w:b/>
                <w:bCs/>
                <w:sz w:val="18"/>
                <w:szCs w:val="18"/>
              </w:rPr>
            </w:pPr>
            <w:r w:rsidRPr="000D2BB6">
              <w:rPr>
                <w:rFonts w:ascii="Times New Roman" w:hAnsi="Times New Roman" w:cs="Times New Roman"/>
                <w:b/>
                <w:bCs/>
                <w:sz w:val="18"/>
                <w:szCs w:val="18"/>
              </w:rPr>
              <w:t>Article History</w:t>
            </w:r>
          </w:p>
        </w:tc>
        <w:tc>
          <w:tcPr>
            <w:tcW w:w="5902" w:type="dxa"/>
            <w:vMerge w:val="restart"/>
            <w:tcBorders>
              <w:top w:val="single" w:sz="4" w:space="0" w:color="auto"/>
              <w:left w:val="single" w:sz="4" w:space="0" w:color="auto"/>
              <w:bottom w:val="nil"/>
              <w:right w:val="nil"/>
            </w:tcBorders>
            <w:shd w:val="clear" w:color="auto" w:fill="auto"/>
          </w:tcPr>
          <w:p w14:paraId="66D75A97" w14:textId="50E932DA" w:rsidR="00F43BD7" w:rsidRPr="00AF1817" w:rsidRDefault="00F43BD7" w:rsidP="00F43BD7">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ABSTRACT</w:t>
            </w:r>
            <w:r w:rsidR="00AF1817">
              <w:rPr>
                <w:rFonts w:ascii="Times New Roman" w:hAnsi="Times New Roman" w:cs="Times New Roman"/>
                <w:b/>
                <w:noProof/>
                <w:spacing w:val="-3"/>
                <w:sz w:val="20"/>
                <w:szCs w:val="20"/>
              </w:rPr>
              <w:t xml:space="preserve"> </w:t>
            </w:r>
            <w:r w:rsidR="00AF1817" w:rsidRPr="00AF1817">
              <w:rPr>
                <w:rFonts w:ascii="Times New Roman" w:hAnsi="Times New Roman" w:cs="Times New Roman"/>
                <w:bCs/>
                <w:noProof/>
                <w:spacing w:val="-3"/>
                <w:sz w:val="20"/>
                <w:szCs w:val="20"/>
              </w:rPr>
              <w:t>(200-250 words)</w:t>
            </w:r>
          </w:p>
          <w:p w14:paraId="296DCE6C" w14:textId="77777777" w:rsidR="00F43BD7" w:rsidRPr="00413465" w:rsidRDefault="00F43BD7" w:rsidP="00F43BD7">
            <w:pPr>
              <w:jc w:val="center"/>
              <w:rPr>
                <w:rFonts w:ascii="Times New Roman" w:hAnsi="Times New Roman" w:cs="Times New Roman"/>
                <w:b/>
                <w:noProof/>
                <w:spacing w:val="-3"/>
                <w:sz w:val="20"/>
                <w:szCs w:val="20"/>
              </w:rPr>
            </w:pPr>
          </w:p>
          <w:p w14:paraId="622F42C1"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Introduction: </w:t>
            </w:r>
          </w:p>
          <w:p w14:paraId="39AA7DB8"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Methods: </w:t>
            </w:r>
          </w:p>
          <w:p w14:paraId="2A4CC1EB" w14:textId="77777777" w:rsidR="00F43BD7" w:rsidRPr="00413465"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 xml:space="preserve">Results: </w:t>
            </w:r>
          </w:p>
          <w:p w14:paraId="32A5FFB9" w14:textId="77777777" w:rsidR="00F43BD7" w:rsidRDefault="00F43BD7" w:rsidP="00F43BD7">
            <w:pPr>
              <w:rPr>
                <w:rFonts w:ascii="Times New Roman" w:hAnsi="Times New Roman" w:cs="Times New Roman"/>
                <w:b/>
                <w:noProof/>
                <w:spacing w:val="-3"/>
                <w:sz w:val="20"/>
                <w:szCs w:val="20"/>
              </w:rPr>
            </w:pPr>
            <w:r w:rsidRPr="00413465">
              <w:rPr>
                <w:rFonts w:ascii="Times New Roman" w:hAnsi="Times New Roman" w:cs="Times New Roman"/>
                <w:b/>
                <w:noProof/>
                <w:spacing w:val="-3"/>
                <w:sz w:val="20"/>
                <w:szCs w:val="20"/>
              </w:rPr>
              <w:t>Conclusion:</w:t>
            </w:r>
          </w:p>
          <w:p w14:paraId="5AC831F2" w14:textId="77777777" w:rsidR="00F43BD7" w:rsidRDefault="00F43BD7" w:rsidP="00F43BD7">
            <w:pPr>
              <w:rPr>
                <w:rFonts w:ascii="Times New Roman" w:hAnsi="Times New Roman" w:cs="Times New Roman"/>
                <w:b/>
                <w:noProof/>
                <w:spacing w:val="-3"/>
                <w:sz w:val="20"/>
                <w:szCs w:val="20"/>
              </w:rPr>
            </w:pPr>
          </w:p>
          <w:p w14:paraId="6871425F" w14:textId="77777777" w:rsidR="00F43BD7" w:rsidRDefault="00F43BD7" w:rsidP="00F43BD7">
            <w:pPr>
              <w:rPr>
                <w:rFonts w:ascii="Times New Roman" w:hAnsi="Times New Roman" w:cs="Times New Roman"/>
                <w:b/>
                <w:noProof/>
                <w:spacing w:val="-3"/>
                <w:sz w:val="20"/>
                <w:szCs w:val="20"/>
              </w:rPr>
            </w:pPr>
          </w:p>
          <w:p w14:paraId="555F4A49" w14:textId="643CED82" w:rsidR="00F70691" w:rsidRPr="00AF1817" w:rsidRDefault="00F70691" w:rsidP="00F70691">
            <w:pPr>
              <w:rPr>
                <w:rFonts w:ascii="Times New Roman" w:hAnsi="Times New Roman" w:cs="Times New Roman"/>
                <w:bCs/>
                <w:noProof/>
                <w:spacing w:val="-3"/>
                <w:sz w:val="20"/>
                <w:szCs w:val="20"/>
              </w:rPr>
            </w:pPr>
            <w:r w:rsidRPr="00413465">
              <w:rPr>
                <w:rFonts w:ascii="Times New Roman" w:hAnsi="Times New Roman" w:cs="Times New Roman"/>
                <w:b/>
                <w:noProof/>
                <w:spacing w:val="-3"/>
                <w:sz w:val="20"/>
                <w:szCs w:val="20"/>
              </w:rPr>
              <w:t>ABSTR</w:t>
            </w:r>
            <w:r>
              <w:rPr>
                <w:rFonts w:ascii="Times New Roman" w:hAnsi="Times New Roman" w:cs="Times New Roman"/>
                <w:b/>
                <w:noProof/>
                <w:spacing w:val="-3"/>
                <w:sz w:val="20"/>
                <w:szCs w:val="20"/>
              </w:rPr>
              <w:t xml:space="preserve">AK </w:t>
            </w:r>
            <w:r w:rsidRPr="00AF1817">
              <w:rPr>
                <w:rFonts w:ascii="Times New Roman" w:hAnsi="Times New Roman" w:cs="Times New Roman"/>
                <w:bCs/>
                <w:noProof/>
                <w:spacing w:val="-3"/>
                <w:sz w:val="20"/>
                <w:szCs w:val="20"/>
              </w:rPr>
              <w:t>(200-250 words)</w:t>
            </w:r>
          </w:p>
          <w:p w14:paraId="43B1A431" w14:textId="77777777" w:rsidR="00F70691" w:rsidRPr="00413465" w:rsidRDefault="00F70691" w:rsidP="00F70691">
            <w:pPr>
              <w:jc w:val="center"/>
              <w:rPr>
                <w:rFonts w:ascii="Times New Roman" w:hAnsi="Times New Roman" w:cs="Times New Roman"/>
                <w:b/>
                <w:noProof/>
                <w:spacing w:val="-3"/>
                <w:sz w:val="20"/>
                <w:szCs w:val="20"/>
              </w:rPr>
            </w:pPr>
          </w:p>
          <w:p w14:paraId="10F4C532" w14:textId="13DE1915"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Pendahuluan</w:t>
            </w:r>
            <w:r w:rsidRPr="00413465">
              <w:rPr>
                <w:rFonts w:ascii="Times New Roman" w:hAnsi="Times New Roman" w:cs="Times New Roman"/>
                <w:b/>
                <w:noProof/>
                <w:spacing w:val="-3"/>
                <w:sz w:val="20"/>
                <w:szCs w:val="20"/>
              </w:rPr>
              <w:t xml:space="preserve">: </w:t>
            </w:r>
          </w:p>
          <w:p w14:paraId="193DB707" w14:textId="530CDBCA"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Metode</w:t>
            </w:r>
            <w:r w:rsidRPr="00413465">
              <w:rPr>
                <w:rFonts w:ascii="Times New Roman" w:hAnsi="Times New Roman" w:cs="Times New Roman"/>
                <w:b/>
                <w:noProof/>
                <w:spacing w:val="-3"/>
                <w:sz w:val="20"/>
                <w:szCs w:val="20"/>
              </w:rPr>
              <w:t xml:space="preserve">: </w:t>
            </w:r>
          </w:p>
          <w:p w14:paraId="6FA3534B" w14:textId="50084393" w:rsidR="00F70691" w:rsidRPr="00413465"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Hasil</w:t>
            </w:r>
            <w:r w:rsidRPr="00413465">
              <w:rPr>
                <w:rFonts w:ascii="Times New Roman" w:hAnsi="Times New Roman" w:cs="Times New Roman"/>
                <w:b/>
                <w:noProof/>
                <w:spacing w:val="-3"/>
                <w:sz w:val="20"/>
                <w:szCs w:val="20"/>
              </w:rPr>
              <w:t xml:space="preserve">: </w:t>
            </w:r>
          </w:p>
          <w:p w14:paraId="67BF5696" w14:textId="5435F068" w:rsidR="00F70691" w:rsidRDefault="00F70691" w:rsidP="00F70691">
            <w:pPr>
              <w:rPr>
                <w:rFonts w:ascii="Times New Roman" w:hAnsi="Times New Roman" w:cs="Times New Roman"/>
                <w:b/>
                <w:noProof/>
                <w:spacing w:val="-3"/>
                <w:sz w:val="20"/>
                <w:szCs w:val="20"/>
              </w:rPr>
            </w:pPr>
            <w:r>
              <w:rPr>
                <w:rFonts w:ascii="Times New Roman" w:hAnsi="Times New Roman" w:cs="Times New Roman"/>
                <w:b/>
                <w:noProof/>
                <w:spacing w:val="-3"/>
                <w:sz w:val="20"/>
                <w:szCs w:val="20"/>
              </w:rPr>
              <w:t>Simpulan</w:t>
            </w:r>
            <w:r w:rsidRPr="00413465">
              <w:rPr>
                <w:rFonts w:ascii="Times New Roman" w:hAnsi="Times New Roman" w:cs="Times New Roman"/>
                <w:b/>
                <w:noProof/>
                <w:spacing w:val="-3"/>
                <w:sz w:val="20"/>
                <w:szCs w:val="20"/>
              </w:rPr>
              <w:t>:</w:t>
            </w:r>
          </w:p>
          <w:p w14:paraId="56A55550" w14:textId="77777777" w:rsidR="00F43BD7" w:rsidRDefault="00F43BD7" w:rsidP="00F43BD7">
            <w:pPr>
              <w:rPr>
                <w:rFonts w:ascii="Times New Roman" w:hAnsi="Times New Roman" w:cs="Times New Roman"/>
                <w:b/>
                <w:noProof/>
                <w:spacing w:val="-3"/>
                <w:sz w:val="20"/>
                <w:szCs w:val="20"/>
              </w:rPr>
            </w:pPr>
          </w:p>
          <w:p w14:paraId="283BCB8E" w14:textId="77777777" w:rsidR="00F43BD7" w:rsidRDefault="00F43BD7" w:rsidP="00F43BD7">
            <w:pPr>
              <w:rPr>
                <w:rFonts w:ascii="Times New Roman" w:hAnsi="Times New Roman" w:cs="Times New Roman"/>
                <w:b/>
                <w:noProof/>
                <w:spacing w:val="-3"/>
                <w:sz w:val="20"/>
                <w:szCs w:val="20"/>
              </w:rPr>
            </w:pPr>
          </w:p>
          <w:p w14:paraId="33AB7BC7" w14:textId="77777777" w:rsidR="00F43BD7" w:rsidRDefault="00F43BD7" w:rsidP="00F43BD7">
            <w:pPr>
              <w:rPr>
                <w:rFonts w:ascii="Times New Roman" w:hAnsi="Times New Roman" w:cs="Times New Roman"/>
                <w:b/>
                <w:noProof/>
                <w:spacing w:val="-3"/>
                <w:sz w:val="20"/>
                <w:szCs w:val="20"/>
              </w:rPr>
            </w:pPr>
          </w:p>
          <w:p w14:paraId="285E9BF8" w14:textId="18FCC202" w:rsidR="00F43BD7" w:rsidRPr="00DD064F" w:rsidRDefault="00F43BD7" w:rsidP="00F43BD7">
            <w:pPr>
              <w:rPr>
                <w:rFonts w:ascii="Times New Roman" w:hAnsi="Times New Roman" w:cs="Times New Roman"/>
                <w:b/>
                <w:noProof/>
                <w:color w:val="231F20"/>
                <w:spacing w:val="-3"/>
                <w:sz w:val="20"/>
                <w:szCs w:val="20"/>
              </w:rPr>
            </w:pPr>
            <w:r w:rsidRPr="00413465">
              <w:rPr>
                <w:rFonts w:ascii="Times New Roman" w:hAnsi="Times New Roman" w:cs="Times New Roman"/>
                <w:b/>
                <w:noProof/>
                <w:spacing w:val="-3"/>
                <w:sz w:val="20"/>
                <w:szCs w:val="20"/>
              </w:rPr>
              <w:t xml:space="preserve"> </w:t>
            </w:r>
          </w:p>
        </w:tc>
      </w:tr>
      <w:tr w:rsidR="00F43BD7" w14:paraId="63A1B576" w14:textId="77777777" w:rsidTr="00F14F2E">
        <w:tc>
          <w:tcPr>
            <w:tcW w:w="3114" w:type="dxa"/>
            <w:tcBorders>
              <w:top w:val="nil"/>
              <w:left w:val="nil"/>
              <w:bottom w:val="nil"/>
              <w:right w:val="single" w:sz="4" w:space="0" w:color="auto"/>
            </w:tcBorders>
          </w:tcPr>
          <w:p w14:paraId="22802C2D" w14:textId="3A1F80A3"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Received: </w:t>
            </w:r>
          </w:p>
        </w:tc>
        <w:tc>
          <w:tcPr>
            <w:tcW w:w="5902" w:type="dxa"/>
            <w:vMerge/>
            <w:tcBorders>
              <w:top w:val="nil"/>
              <w:left w:val="single" w:sz="4" w:space="0" w:color="auto"/>
              <w:bottom w:val="nil"/>
              <w:right w:val="nil"/>
            </w:tcBorders>
            <w:shd w:val="clear" w:color="auto" w:fill="auto"/>
          </w:tcPr>
          <w:p w14:paraId="2A2B8BDF"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688E15CF" w14:textId="77777777" w:rsidTr="00F244C3">
        <w:tc>
          <w:tcPr>
            <w:tcW w:w="3114" w:type="dxa"/>
            <w:tcBorders>
              <w:top w:val="nil"/>
              <w:left w:val="nil"/>
              <w:bottom w:val="nil"/>
              <w:right w:val="single" w:sz="4" w:space="0" w:color="auto"/>
            </w:tcBorders>
          </w:tcPr>
          <w:p w14:paraId="43963694" w14:textId="6596BD9C"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Revised: </w:t>
            </w:r>
          </w:p>
        </w:tc>
        <w:tc>
          <w:tcPr>
            <w:tcW w:w="5902" w:type="dxa"/>
            <w:vMerge/>
            <w:tcBorders>
              <w:top w:val="nil"/>
              <w:left w:val="single" w:sz="4" w:space="0" w:color="auto"/>
              <w:bottom w:val="nil"/>
              <w:right w:val="nil"/>
            </w:tcBorders>
            <w:shd w:val="clear" w:color="auto" w:fill="auto"/>
          </w:tcPr>
          <w:p w14:paraId="74B89737"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7F3ABF4" w14:textId="77777777" w:rsidTr="00F244C3">
        <w:tc>
          <w:tcPr>
            <w:tcW w:w="3114" w:type="dxa"/>
            <w:tcBorders>
              <w:top w:val="nil"/>
              <w:left w:val="nil"/>
              <w:bottom w:val="nil"/>
              <w:right w:val="single" w:sz="4" w:space="0" w:color="auto"/>
            </w:tcBorders>
          </w:tcPr>
          <w:p w14:paraId="1A8DB71C" w14:textId="62F5060D"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Accepted: </w:t>
            </w:r>
          </w:p>
        </w:tc>
        <w:tc>
          <w:tcPr>
            <w:tcW w:w="5902" w:type="dxa"/>
            <w:vMerge/>
            <w:tcBorders>
              <w:top w:val="nil"/>
              <w:left w:val="single" w:sz="4" w:space="0" w:color="auto"/>
              <w:bottom w:val="nil"/>
              <w:right w:val="nil"/>
            </w:tcBorders>
            <w:shd w:val="clear" w:color="auto" w:fill="auto"/>
          </w:tcPr>
          <w:p w14:paraId="49B676A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1EC9491" w14:textId="77777777" w:rsidTr="008A4162">
        <w:tc>
          <w:tcPr>
            <w:tcW w:w="3114" w:type="dxa"/>
            <w:tcBorders>
              <w:top w:val="nil"/>
              <w:left w:val="nil"/>
              <w:bottom w:val="nil"/>
              <w:right w:val="single" w:sz="4" w:space="0" w:color="auto"/>
            </w:tcBorders>
          </w:tcPr>
          <w:p w14:paraId="6415D59B" w14:textId="6CF60EA4" w:rsidR="00F43BD7" w:rsidRPr="00143B24" w:rsidRDefault="00F43BD7" w:rsidP="00F43BD7">
            <w:pPr>
              <w:rPr>
                <w:rFonts w:ascii="Times New Roman" w:hAnsi="Times New Roman" w:cs="Times New Roman"/>
                <w:sz w:val="18"/>
                <w:szCs w:val="18"/>
              </w:rPr>
            </w:pPr>
            <w:r w:rsidRPr="00143B24">
              <w:rPr>
                <w:rFonts w:ascii="Times New Roman" w:hAnsi="Times New Roman" w:cs="Times New Roman"/>
                <w:sz w:val="18"/>
                <w:szCs w:val="18"/>
              </w:rPr>
              <w:t xml:space="preserve">Published online: </w:t>
            </w:r>
          </w:p>
        </w:tc>
        <w:tc>
          <w:tcPr>
            <w:tcW w:w="5902" w:type="dxa"/>
            <w:vMerge/>
            <w:tcBorders>
              <w:top w:val="nil"/>
              <w:left w:val="single" w:sz="4" w:space="0" w:color="auto"/>
              <w:bottom w:val="single" w:sz="2" w:space="0" w:color="auto"/>
              <w:right w:val="nil"/>
            </w:tcBorders>
            <w:shd w:val="clear" w:color="auto" w:fill="auto"/>
          </w:tcPr>
          <w:p w14:paraId="34B07E5D" w14:textId="77777777" w:rsidR="00F43BD7" w:rsidRPr="00DD064F" w:rsidRDefault="00F43BD7" w:rsidP="00F43BD7">
            <w:pPr>
              <w:rPr>
                <w:rFonts w:ascii="Times New Roman" w:hAnsi="Times New Roman" w:cs="Times New Roman"/>
                <w:b/>
                <w:noProof/>
                <w:color w:val="1F4E79" w:themeColor="accent5" w:themeShade="80"/>
                <w:spacing w:val="-3"/>
                <w:sz w:val="20"/>
                <w:szCs w:val="20"/>
              </w:rPr>
            </w:pPr>
          </w:p>
        </w:tc>
      </w:tr>
      <w:tr w:rsidR="00F43BD7" w14:paraId="7B87C02F" w14:textId="77777777" w:rsidTr="008A4162">
        <w:tc>
          <w:tcPr>
            <w:tcW w:w="3114" w:type="dxa"/>
            <w:tcBorders>
              <w:top w:val="nil"/>
              <w:left w:val="nil"/>
              <w:bottom w:val="nil"/>
              <w:right w:val="single" w:sz="4" w:space="0" w:color="auto"/>
            </w:tcBorders>
          </w:tcPr>
          <w:p w14:paraId="4D046C0F" w14:textId="47E434DC" w:rsidR="00F43BD7" w:rsidRDefault="001C20FF" w:rsidP="00F43BD7">
            <w:r>
              <w:rPr>
                <w:rFonts w:ascii="Times New Roman" w:hAnsi="Times New Roman" w:cs="Times New Roman"/>
                <w:b/>
                <w:noProof/>
                <w:color w:val="231F20"/>
                <w:spacing w:val="-3"/>
                <w:sz w:val="20"/>
                <w:szCs w:val="20"/>
              </w:rPr>
              <w:t>DOI:</w:t>
            </w:r>
          </w:p>
        </w:tc>
        <w:tc>
          <w:tcPr>
            <w:tcW w:w="5902" w:type="dxa"/>
            <w:tcBorders>
              <w:top w:val="single" w:sz="2" w:space="0" w:color="auto"/>
              <w:left w:val="single" w:sz="4" w:space="0" w:color="auto"/>
              <w:bottom w:val="single" w:sz="2" w:space="0" w:color="auto"/>
              <w:right w:val="nil"/>
            </w:tcBorders>
          </w:tcPr>
          <w:p w14:paraId="3DB2482D" w14:textId="08A8D4FA" w:rsidR="00F43BD7" w:rsidRPr="007D70A5" w:rsidRDefault="00F43BD7"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 xml:space="preserve">Keywords: </w:t>
            </w:r>
          </w:p>
        </w:tc>
      </w:tr>
      <w:tr w:rsidR="00F43BD7" w14:paraId="79BF6F41" w14:textId="77777777" w:rsidTr="008A4162">
        <w:tc>
          <w:tcPr>
            <w:tcW w:w="3114" w:type="dxa"/>
            <w:tcBorders>
              <w:top w:val="nil"/>
              <w:left w:val="nil"/>
              <w:bottom w:val="single" w:sz="4" w:space="0" w:color="auto"/>
              <w:right w:val="single" w:sz="4" w:space="0" w:color="auto"/>
            </w:tcBorders>
          </w:tcPr>
          <w:p w14:paraId="312A68CF" w14:textId="77777777" w:rsidR="00F43BD7" w:rsidRPr="000D2BB6" w:rsidRDefault="00F43BD7" w:rsidP="00F43BD7">
            <w:pPr>
              <w:rPr>
                <w:rFonts w:ascii="Times New Roman" w:hAnsi="Times New Roman" w:cs="Times New Roman"/>
                <w:b/>
                <w:bCs/>
                <w:sz w:val="18"/>
                <w:szCs w:val="18"/>
              </w:rPr>
            </w:pPr>
          </w:p>
        </w:tc>
        <w:tc>
          <w:tcPr>
            <w:tcW w:w="5902" w:type="dxa"/>
            <w:tcBorders>
              <w:top w:val="single" w:sz="2" w:space="0" w:color="auto"/>
              <w:left w:val="single" w:sz="4" w:space="0" w:color="auto"/>
              <w:bottom w:val="single" w:sz="4" w:space="0" w:color="auto"/>
              <w:right w:val="nil"/>
            </w:tcBorders>
          </w:tcPr>
          <w:p w14:paraId="43038984" w14:textId="4985D6FE" w:rsidR="00F43BD7" w:rsidRDefault="00F70691" w:rsidP="00F43BD7">
            <w:pPr>
              <w:rPr>
                <w:rFonts w:ascii="Times New Roman" w:hAnsi="Times New Roman" w:cs="Times New Roman"/>
                <w:b/>
                <w:noProof/>
                <w:color w:val="231F20"/>
                <w:spacing w:val="-3"/>
                <w:sz w:val="20"/>
                <w:szCs w:val="20"/>
              </w:rPr>
            </w:pPr>
            <w:r>
              <w:rPr>
                <w:rFonts w:ascii="Times New Roman" w:hAnsi="Times New Roman" w:cs="Times New Roman"/>
                <w:b/>
                <w:noProof/>
                <w:color w:val="231F20"/>
                <w:spacing w:val="-3"/>
                <w:sz w:val="20"/>
                <w:szCs w:val="20"/>
              </w:rPr>
              <w:t xml:space="preserve">Kata kunci: </w:t>
            </w:r>
          </w:p>
        </w:tc>
      </w:tr>
    </w:tbl>
    <w:p w14:paraId="361C318C" w14:textId="77777777" w:rsidR="00F244C3" w:rsidRDefault="00F244C3"/>
    <w:p w14:paraId="16310385" w14:textId="327197D9" w:rsidR="00F244C3" w:rsidRPr="00F244C3" w:rsidRDefault="00F244C3" w:rsidP="00F244C3">
      <w:pPr>
        <w:jc w:val="both"/>
        <w:rPr>
          <w:rFonts w:ascii="Times New Roman" w:hAnsi="Times New Roman"/>
          <w:b/>
          <w:bCs/>
          <w:sz w:val="20"/>
          <w:szCs w:val="20"/>
          <w:shd w:val="clear" w:color="auto" w:fill="FFFFFF"/>
        </w:rPr>
      </w:pPr>
      <w:r w:rsidRPr="00F244C3">
        <w:rPr>
          <w:rFonts w:ascii="Times New Roman" w:hAnsi="Times New Roman"/>
          <w:b/>
          <w:bCs/>
          <w:sz w:val="20"/>
          <w:szCs w:val="20"/>
          <w:shd w:val="clear" w:color="auto" w:fill="FFFFFF"/>
        </w:rPr>
        <w:t>INTRODUCTION</w:t>
      </w:r>
      <w:r w:rsidR="00F70691">
        <w:rPr>
          <w:rFonts w:ascii="Times New Roman" w:hAnsi="Times New Roman"/>
          <w:b/>
          <w:bCs/>
          <w:sz w:val="20"/>
          <w:szCs w:val="20"/>
          <w:shd w:val="clear" w:color="auto" w:fill="FFFFFF"/>
        </w:rPr>
        <w:t xml:space="preserve"> / PENDAHULUAN</w:t>
      </w:r>
    </w:p>
    <w:p w14:paraId="7071609C" w14:textId="77777777" w:rsidR="00DC5053" w:rsidRPr="00DC5053" w:rsidRDefault="00DC5053" w:rsidP="00DC5053">
      <w:pPr>
        <w:jc w:val="both"/>
        <w:rPr>
          <w:rFonts w:ascii="Times New Roman" w:hAnsi="Times New Roman"/>
          <w:sz w:val="20"/>
          <w:szCs w:val="20"/>
          <w:shd w:val="clear" w:color="auto" w:fill="FFFFFF"/>
        </w:rPr>
      </w:pPr>
      <w:r w:rsidRPr="00DC5053">
        <w:rPr>
          <w:rFonts w:ascii="Times New Roman" w:hAnsi="Times New Roman"/>
          <w:sz w:val="20"/>
          <w:szCs w:val="20"/>
          <w:shd w:val="clear" w:color="auto" w:fill="FFFFFF"/>
        </w:rPr>
        <w:t>The Comprehensive Occupational Health and Safety Reviews invites original research submissions that pertain to a wide spectrum of workplace hazards, including chemical, physical, ergonomic, biological, and psychosocial hazards. Additionally, submissions related to environmental contaminants, their health impacts, and safety standards and interventions are also welcome. Research focused on enhancing evidence-based practices in occupational medicine and investigating the advancement and use of innovative methodologies, such as biological and statistical methods, is also of interest. Furthermore, we publish meta-analysis, systematic literature review, review articles, editorials, comments, case studies, and letters to the editor, serving as a platform for exchange and discussion.</w:t>
      </w:r>
      <w:r>
        <w:rPr>
          <w:rFonts w:ascii="Times New Roman" w:hAnsi="Times New Roman"/>
          <w:sz w:val="20"/>
          <w:szCs w:val="20"/>
          <w:shd w:val="clear" w:color="auto" w:fill="FFFFFF"/>
        </w:rPr>
        <w:t xml:space="preserve"> </w:t>
      </w:r>
      <w:r w:rsidRPr="00DC5053">
        <w:rPr>
          <w:rFonts w:ascii="Times New Roman" w:hAnsi="Times New Roman"/>
          <w:sz w:val="20"/>
          <w:szCs w:val="20"/>
          <w:shd w:val="clear" w:color="auto" w:fill="FFFFFF"/>
        </w:rPr>
        <w:t>Comprehensive Occupational Health and Safety Reviews is a widely distributed journal that is accessible to the public and undergoes review by experts in the area. The primary aim of the journal is to showcase innovative and advanced scientific and technological advancements in the field of occupational health and safety. The journal publishes current research in the fields of occupational health and safety. It enhances workplace health and safety, hence enhancing worker health and preventing accidents.</w:t>
      </w:r>
    </w:p>
    <w:p w14:paraId="2347A078" w14:textId="38C3F44C" w:rsidR="00DC5053" w:rsidRDefault="00DC5053" w:rsidP="00DC5053">
      <w:pPr>
        <w:jc w:val="both"/>
        <w:rPr>
          <w:rFonts w:ascii="Times New Roman" w:hAnsi="Times New Roman"/>
          <w:sz w:val="20"/>
          <w:szCs w:val="20"/>
          <w:shd w:val="clear" w:color="auto" w:fill="FFFFFF"/>
        </w:rPr>
      </w:pPr>
      <w:r w:rsidRPr="00DC5053">
        <w:rPr>
          <w:rFonts w:ascii="Times New Roman" w:hAnsi="Times New Roman"/>
          <w:sz w:val="20"/>
          <w:szCs w:val="20"/>
          <w:shd w:val="clear" w:color="auto" w:fill="FFFFFF"/>
        </w:rPr>
        <w:t xml:space="preserve">The journal serves as a crucial means of communication for those involved in the fields of occupational health and safety, policy development, and both governmental and non-governmental organizations. The </w:t>
      </w:r>
      <w:proofErr w:type="gramStart"/>
      <w:r w:rsidRPr="00DC5053">
        <w:rPr>
          <w:rFonts w:ascii="Times New Roman" w:hAnsi="Times New Roman"/>
          <w:sz w:val="20"/>
          <w:szCs w:val="20"/>
          <w:shd w:val="clear" w:color="auto" w:fill="FFFFFF"/>
        </w:rPr>
        <w:t>main focus</w:t>
      </w:r>
      <w:proofErr w:type="gramEnd"/>
      <w:r w:rsidRPr="00DC5053">
        <w:rPr>
          <w:rFonts w:ascii="Times New Roman" w:hAnsi="Times New Roman"/>
          <w:sz w:val="20"/>
          <w:szCs w:val="20"/>
          <w:shd w:val="clear" w:color="auto" w:fill="FFFFFF"/>
        </w:rPr>
        <w:t xml:space="preserve"> is on topics related to occupational health and safety.</w:t>
      </w:r>
      <w:r>
        <w:rPr>
          <w:rFonts w:ascii="Times New Roman" w:hAnsi="Times New Roman"/>
          <w:sz w:val="20"/>
          <w:szCs w:val="20"/>
          <w:shd w:val="clear" w:color="auto" w:fill="FFFFFF"/>
        </w:rPr>
        <w:t xml:space="preserve"> </w:t>
      </w:r>
      <w:r w:rsidRPr="00DC5053">
        <w:rPr>
          <w:rFonts w:ascii="Times New Roman" w:hAnsi="Times New Roman"/>
          <w:sz w:val="20"/>
          <w:szCs w:val="20"/>
          <w:shd w:val="clear" w:color="auto" w:fill="FFFFFF"/>
        </w:rPr>
        <w:t xml:space="preserve">The journal invites the publication of original research articles, review papers, technical reports, case studies, conference reports, and book reviews. The journal covers a vast array of subjects, including but not limited to the following: the biological impacts of chemical compounds in the environment and occupational settings through the application of experimental and epidemiological methods; examination of fatigue, musculoskeletal issues, and additional health considerations associated with the configuration of workstations and working conditions; assessment of the physical environment and implementation of safety protocols in the workplace; investigation of mental health/psychosocial factors that </w:t>
      </w:r>
      <w:r w:rsidRPr="00DC5053">
        <w:rPr>
          <w:rFonts w:ascii="Times New Roman" w:hAnsi="Times New Roman"/>
          <w:sz w:val="20"/>
          <w:szCs w:val="20"/>
          <w:shd w:val="clear" w:color="auto" w:fill="FFFFFF"/>
        </w:rPr>
        <w:lastRenderedPageBreak/>
        <w:t>influence the psychological well-being of workers, including the psychosocial aspects of their work environment and the resulting health consequences; the role and activities of occupational health practitioners include the practice of occupational health; extensive research on the prevalence of health issues across a large population, including workers; global patterns, including risk variables outside the workplace such as socioeconomic factors, and use particular epidemiological approaches.</w:t>
      </w:r>
    </w:p>
    <w:p w14:paraId="0F64FCAC" w14:textId="303E1C37" w:rsidR="00E21DC1" w:rsidRDefault="00E21DC1" w:rsidP="00E21DC1">
      <w:pPr>
        <w:jc w:val="both"/>
        <w:rPr>
          <w:rFonts w:ascii="Times New Roman" w:hAnsi="Times New Roman"/>
          <w:sz w:val="20"/>
          <w:szCs w:val="20"/>
          <w:shd w:val="clear" w:color="auto" w:fill="FFFFFF"/>
        </w:rPr>
      </w:pPr>
      <w:r>
        <w:rPr>
          <w:rFonts w:ascii="Times New Roman" w:hAnsi="Times New Roman"/>
          <w:sz w:val="20"/>
          <w:szCs w:val="20"/>
          <w:shd w:val="clear" w:color="auto" w:fill="FFFFFF"/>
        </w:rPr>
        <w:tab/>
      </w:r>
    </w:p>
    <w:p w14:paraId="7C3F5F0D" w14:textId="005F1C96" w:rsidR="00F244C3" w:rsidRP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METHODS</w:t>
      </w:r>
      <w:r w:rsidR="00F70691">
        <w:rPr>
          <w:rFonts w:ascii="Times New Roman" w:hAnsi="Times New Roman"/>
          <w:b/>
          <w:bCs/>
          <w:sz w:val="20"/>
          <w:szCs w:val="20"/>
          <w:shd w:val="clear" w:color="auto" w:fill="FFFFFF"/>
        </w:rPr>
        <w:t xml:space="preserve"> / METODE</w:t>
      </w:r>
    </w:p>
    <w:p w14:paraId="667957E7" w14:textId="682017BD" w:rsidR="00E21DC1" w:rsidRPr="00E21DC1" w:rsidRDefault="00DC5053" w:rsidP="00E21DC1">
      <w:pPr>
        <w:jc w:val="both"/>
        <w:rPr>
          <w:rFonts w:ascii="Times New Roman" w:hAnsi="Times New Roman"/>
          <w:sz w:val="20"/>
          <w:szCs w:val="20"/>
          <w:shd w:val="clear" w:color="auto" w:fill="FFFFFF"/>
        </w:rPr>
      </w:pPr>
      <w:r w:rsidRPr="00DC5053">
        <w:rPr>
          <w:rFonts w:ascii="Times New Roman" w:hAnsi="Times New Roman" w:cs="Times New Roman"/>
          <w:sz w:val="20"/>
          <w:szCs w:val="20"/>
        </w:rPr>
        <w:t xml:space="preserve">The Comprehensive Occupational Health and Safety Reviews </w:t>
      </w:r>
      <w:r w:rsidR="00E21DC1" w:rsidRPr="00E21DC1">
        <w:rPr>
          <w:rFonts w:ascii="Times New Roman" w:hAnsi="Times New Roman"/>
          <w:sz w:val="20"/>
          <w:szCs w:val="20"/>
          <w:shd w:val="clear" w:color="auto" w:fill="FFFFFF"/>
        </w:rPr>
        <w:t>is a peer-reviewed journal published by PT Solusi Era Mediatama. This statement clarifies the ethical behavior of all parties involved in the act of posting an article in this journal, including the author, the chief editor, the Editorial Board, the peer-reviewed and the publisher. The criteria or guidelines addressed to authors and reviewers by the Editorial Board are based on the principles of the Publishing Ethics Resource Kit (PERK) from Elsevier.</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If the work/research involves human subjects, human material, or human intervention, the authors must ensure that it is done in accordance with the Helsinki Declaration and has been approved by an appropriate ethics committee. The authors must provide a statement detailing this, including the full name and institution of the research ethics review board, as well as the approval number. All participants must provide informed consent, which the author must keep.</w:t>
      </w:r>
    </w:p>
    <w:p w14:paraId="40AFFF28" w14:textId="6FDE001C" w:rsidR="00E21DC1" w:rsidRPr="00E21DC1" w:rsidRDefault="00DC5053" w:rsidP="00E21DC1">
      <w:pPr>
        <w:jc w:val="both"/>
        <w:rPr>
          <w:rFonts w:ascii="Times New Roman" w:hAnsi="Times New Roman"/>
          <w:sz w:val="20"/>
          <w:szCs w:val="20"/>
          <w:shd w:val="clear" w:color="auto" w:fill="FFFFFF"/>
        </w:rPr>
      </w:pPr>
      <w:r w:rsidRPr="00DC5053">
        <w:rPr>
          <w:rFonts w:ascii="Times New Roman" w:hAnsi="Times New Roman" w:cs="Times New Roman"/>
          <w:sz w:val="20"/>
          <w:szCs w:val="20"/>
        </w:rPr>
        <w:t xml:space="preserve">The Comprehensive Occupational Health and Safety Reviews </w:t>
      </w:r>
      <w:r w:rsidR="00E21DC1" w:rsidRPr="00E21DC1">
        <w:rPr>
          <w:rFonts w:ascii="Times New Roman" w:hAnsi="Times New Roman"/>
          <w:sz w:val="20"/>
          <w:szCs w:val="20"/>
          <w:shd w:val="clear" w:color="auto" w:fill="FFFFFF"/>
        </w:rPr>
        <w:t>adheres to the Committee on Publication Ethics' Core Practices (COPE).</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The publication of an article in this journal is an essential building block in the development of a coherent and respected network of knowledge. It is a direct reflection of the quality of the work of the authors and the institutions that support them. Peer-reviewed articles support and embody the scientific method. It is therefore essential to agree upon standards of expected ethical behavior for all parties involved in the act of publishing: the author, the journal editor, the peer reviewer, the publisher, and the society.</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 xml:space="preserve">PT Solusi Era Mediatama as the publisher of </w:t>
      </w:r>
      <w:r>
        <w:rPr>
          <w:rFonts w:ascii="Times New Roman" w:hAnsi="Times New Roman"/>
          <w:sz w:val="20"/>
          <w:szCs w:val="20"/>
          <w:shd w:val="clear" w:color="auto" w:fill="FFFFFF"/>
        </w:rPr>
        <w:t>t</w:t>
      </w:r>
      <w:r w:rsidRPr="00DC5053">
        <w:rPr>
          <w:rFonts w:ascii="Times New Roman" w:hAnsi="Times New Roman"/>
          <w:sz w:val="20"/>
          <w:szCs w:val="20"/>
          <w:shd w:val="clear" w:color="auto" w:fill="FFFFFF"/>
        </w:rPr>
        <w:t xml:space="preserve">he Comprehensive Occupational Health and Safety Reviews </w:t>
      </w:r>
      <w:r w:rsidR="00E21DC1" w:rsidRPr="00E21DC1">
        <w:rPr>
          <w:rFonts w:ascii="Times New Roman" w:hAnsi="Times New Roman"/>
          <w:sz w:val="20"/>
          <w:szCs w:val="20"/>
          <w:shd w:val="clear" w:color="auto" w:fill="FFFFFF"/>
        </w:rPr>
        <w:t>takes its duties of guardianship over all stages of publishing exceptionally seriously, and we recognize our ethical and other responsibilities. We are committed to ensuring that advertising, reprint, or additional commercial revenue has no impact or influence on editorial decisions.</w:t>
      </w:r>
    </w:p>
    <w:p w14:paraId="6C18D4BB" w14:textId="5B9010F1" w:rsidR="00E21DC1" w:rsidRPr="00E21DC1" w:rsidRDefault="00DC5053" w:rsidP="00E21DC1">
      <w:pPr>
        <w:jc w:val="both"/>
        <w:rPr>
          <w:rFonts w:ascii="Times New Roman" w:hAnsi="Times New Roman"/>
          <w:sz w:val="20"/>
          <w:szCs w:val="20"/>
          <w:shd w:val="clear" w:color="auto" w:fill="FFFFFF"/>
        </w:rPr>
      </w:pPr>
      <w:r w:rsidRPr="00DC5053">
        <w:rPr>
          <w:rFonts w:ascii="Times New Roman" w:hAnsi="Times New Roman"/>
          <w:sz w:val="20"/>
          <w:szCs w:val="20"/>
          <w:shd w:val="clear" w:color="auto" w:fill="FFFFFF"/>
        </w:rPr>
        <w:t>The Comprehensive Occupational Health and Safety Reviews</w:t>
      </w:r>
      <w:r w:rsidR="00E21DC1" w:rsidRPr="00E21DC1">
        <w:rPr>
          <w:rFonts w:ascii="Times New Roman" w:hAnsi="Times New Roman"/>
          <w:sz w:val="20"/>
          <w:szCs w:val="20"/>
          <w:shd w:val="clear" w:color="auto" w:fill="FFFFFF"/>
        </w:rPr>
        <w:t xml:space="preserve"> Editorial Board respects and promotes diversity, equity, and inclusion by accepting submissions only based on research and scholarly merit and integrity without considering race, ethnicity, nationality, citizenship, gender, religion, or financial means. An editor at any time evaluates manuscripts for their intellectual content without regard to race, gender, sexual orientation, religious belief, ethnic origin, citizenship, or political philosophy of the authors.</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The editor and any editorial staff must not disclose any information about a submitted manuscript to anyone other than the corresponding author, reviewers, potential reviewers, other editorial advisers, and the publisher, as appropriate.</w:t>
      </w:r>
      <w:r w:rsidR="00E21DC1">
        <w:rPr>
          <w:rFonts w:ascii="Times New Roman" w:hAnsi="Times New Roman"/>
          <w:sz w:val="20"/>
          <w:szCs w:val="20"/>
          <w:shd w:val="clear" w:color="auto" w:fill="FFFFFF"/>
        </w:rPr>
        <w:t xml:space="preserve"> </w:t>
      </w:r>
    </w:p>
    <w:p w14:paraId="26D5A221" w14:textId="7B8791D3"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Unpublished materials disclosed in a submitted manuscript must not be used in an editor's own research without the express written consent of the author.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editor board journal is responsible for deciding which of the articles submitted to the journal should be published. The validation of the work in question and its importance to researchers and readers must always drive such decisions. The editors may be guided by the policies of the journal's editorial board and constrained by such legal requirements as shall then be in force regarding libel, copyright infringement and plagiarism. The editors may confer with other editors or reviewers in making this decision.</w:t>
      </w:r>
    </w:p>
    <w:p w14:paraId="11574027" w14:textId="77777777" w:rsidR="00E21DC1" w:rsidRPr="00E21DC1" w:rsidRDefault="00E21DC1" w:rsidP="00E21DC1">
      <w:pPr>
        <w:jc w:val="both"/>
        <w:rPr>
          <w:rFonts w:ascii="Times New Roman" w:hAnsi="Times New Roman"/>
          <w:sz w:val="20"/>
          <w:szCs w:val="20"/>
          <w:shd w:val="clear" w:color="auto" w:fill="FFFFFF"/>
        </w:rPr>
      </w:pPr>
    </w:p>
    <w:p w14:paraId="5A2F5858" w14:textId="65B34970" w:rsidR="00F244C3" w:rsidRDefault="00F244C3"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RESULTS AND DISCUSSION</w:t>
      </w:r>
      <w:r w:rsidR="00F70691">
        <w:rPr>
          <w:rFonts w:ascii="Times New Roman" w:hAnsi="Times New Roman"/>
          <w:b/>
          <w:bCs/>
          <w:sz w:val="20"/>
          <w:szCs w:val="20"/>
          <w:shd w:val="clear" w:color="auto" w:fill="FFFFFF"/>
        </w:rPr>
        <w:t xml:space="preserve"> / HASIL DAN PEMBAHASAN</w:t>
      </w:r>
    </w:p>
    <w:p w14:paraId="5F07D897" w14:textId="2052DED3" w:rsidR="00F244C3" w:rsidRPr="00F244C3" w:rsidRDefault="00F244C3" w:rsidP="00F244C3">
      <w:pPr>
        <w:jc w:val="both"/>
        <w:rPr>
          <w:rFonts w:ascii="Times New Roman" w:hAnsi="Times New Roman"/>
          <w:b/>
          <w:bCs/>
          <w:i/>
          <w:iCs/>
          <w:sz w:val="20"/>
          <w:szCs w:val="20"/>
          <w:shd w:val="clear" w:color="auto" w:fill="FFFFFF"/>
        </w:rPr>
      </w:pPr>
      <w:r w:rsidRPr="00F244C3">
        <w:rPr>
          <w:rFonts w:ascii="Times New Roman" w:hAnsi="Times New Roman"/>
          <w:b/>
          <w:bCs/>
          <w:i/>
          <w:iCs/>
          <w:sz w:val="20"/>
          <w:szCs w:val="20"/>
          <w:shd w:val="clear" w:color="auto" w:fill="FFFFFF"/>
        </w:rPr>
        <w:t>Results</w:t>
      </w:r>
      <w:r w:rsidR="00F70691">
        <w:rPr>
          <w:rFonts w:ascii="Times New Roman" w:hAnsi="Times New Roman"/>
          <w:b/>
          <w:bCs/>
          <w:i/>
          <w:iCs/>
          <w:sz w:val="20"/>
          <w:szCs w:val="20"/>
          <w:shd w:val="clear" w:color="auto" w:fill="FFFFFF"/>
        </w:rPr>
        <w:t xml:space="preserve"> / Hasil</w:t>
      </w:r>
    </w:p>
    <w:p w14:paraId="539E0A2E" w14:textId="336D10A4"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The editor must ensure that each manuscript is initially evaluated by the editor for originality. The editor should organize and use peer review fairly and wisely. Editors should explain their peer review processes in the information for authors and indicate which parts of the journal are peer-reviewed. The editor should use appropriate peer reviewers for papers that are considered for publication by selecting people with sufficient expertise and avoiding those with conflicts of interest.</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Peer review assists the editor in making editorial decisions and through the editorial communications with the author may also help the author in improving the paper.</w:t>
      </w:r>
    </w:p>
    <w:p w14:paraId="7E3247F9" w14:textId="26674106"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lastRenderedPageBreak/>
        <w:t>Any selected referee who feels unqualified to review the research reported in a manuscript or knows that its prompt review will be impossible should notify the editor and excuse himself from the review process.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Any manuscripts received for review must treat as confidential documents. They must not be shown to or discussed with others except as authorized by the editor.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Reviews should conduct objectively. Personal criticism of the author is inappropriate. Referees should express their views clearly with supporting arguments.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Reviewers should identify relevant published work that has not been cited by the authors. Any statement that an observation, derivation, or argument reported should accompany by the appropriate citation. A reviewer should also call to the editor's attention any substantial similarity or overlap between the manuscript under consideration and any other published paper of which they have personal knowledge.</w:t>
      </w:r>
    </w:p>
    <w:p w14:paraId="45592554" w14:textId="7E0A63B1" w:rsid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Privileged information or ideas obtained through peer review must be kept confidential and not used for personal advantage. Reviewers should not consider manuscripts in which they have conflicts of interest resulting from competitive, collaborative, or other relationships or connections with any of the authors, companies, or institutions connected to the papers.</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Authors of reports of original research should present an accurate account of the work performed as well as an objective discussion of its significance. Underlying data should be represented accurately in the paper. A paper should contain sufficient detail and references to permit others to replicate the work. Fraudulent or knowingly inaccurate statements constitute unethical behavior and are unacceptable.</w:t>
      </w:r>
    </w:p>
    <w:p w14:paraId="1B03E2AB" w14:textId="040C9BB9" w:rsidR="00E21DC1" w:rsidRDefault="003C16C2" w:rsidP="003C16C2">
      <w:pPr>
        <w:jc w:val="center"/>
        <w:rPr>
          <w:rFonts w:ascii="Times New Roman" w:hAnsi="Times New Roman"/>
          <w:b/>
          <w:bCs/>
          <w:sz w:val="20"/>
          <w:szCs w:val="20"/>
          <w:shd w:val="clear" w:color="auto" w:fill="FFFFFF"/>
        </w:rPr>
      </w:pPr>
      <w:r>
        <w:rPr>
          <w:rFonts w:ascii="Times New Roman" w:hAnsi="Times New Roman"/>
          <w:b/>
          <w:bCs/>
          <w:sz w:val="20"/>
          <w:szCs w:val="20"/>
          <w:shd w:val="clear" w:color="auto" w:fill="FFFFFF"/>
        </w:rPr>
        <w:t>Table 1.</w:t>
      </w:r>
      <w:r w:rsidRPr="003C16C2">
        <w:rPr>
          <w:rFonts w:ascii="Times New Roman" w:hAnsi="Times New Roman"/>
          <w:sz w:val="20"/>
          <w:szCs w:val="20"/>
          <w:shd w:val="clear" w:color="auto" w:fill="FFFFFF"/>
        </w:rPr>
        <w:t xml:space="preserve"> Title</w:t>
      </w: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592C76" w14:paraId="531BB4AE" w14:textId="77777777" w:rsidTr="00592C76">
        <w:trPr>
          <w:jc w:val="center"/>
        </w:trPr>
        <w:tc>
          <w:tcPr>
            <w:tcW w:w="2254" w:type="dxa"/>
            <w:tcBorders>
              <w:bottom w:val="nil"/>
            </w:tcBorders>
          </w:tcPr>
          <w:p w14:paraId="2E2E711F" w14:textId="4C9ED0BC"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Variable</w:t>
            </w:r>
          </w:p>
        </w:tc>
        <w:tc>
          <w:tcPr>
            <w:tcW w:w="2254" w:type="dxa"/>
            <w:tcBorders>
              <w:bottom w:val="nil"/>
            </w:tcBorders>
          </w:tcPr>
          <w:p w14:paraId="46B690BF" w14:textId="55F7561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Indicator</w:t>
            </w:r>
          </w:p>
        </w:tc>
        <w:tc>
          <w:tcPr>
            <w:tcW w:w="2254" w:type="dxa"/>
            <w:tcBorders>
              <w:bottom w:val="nil"/>
            </w:tcBorders>
          </w:tcPr>
          <w:p w14:paraId="64DBCB19" w14:textId="3F8522B7" w:rsidR="00592C76" w:rsidRDefault="00592C76" w:rsidP="00F244C3">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Remark</w:t>
            </w:r>
          </w:p>
        </w:tc>
      </w:tr>
      <w:tr w:rsidR="00592C76" w14:paraId="2E98783E" w14:textId="77777777" w:rsidTr="00592C76">
        <w:trPr>
          <w:jc w:val="center"/>
        </w:trPr>
        <w:tc>
          <w:tcPr>
            <w:tcW w:w="2254" w:type="dxa"/>
            <w:tcBorders>
              <w:top w:val="nil"/>
              <w:bottom w:val="single" w:sz="2" w:space="0" w:color="auto"/>
            </w:tcBorders>
          </w:tcPr>
          <w:p w14:paraId="68EF4ECD"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FAEF546"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bottom w:val="single" w:sz="2" w:space="0" w:color="auto"/>
            </w:tcBorders>
          </w:tcPr>
          <w:p w14:paraId="3604605D" w14:textId="77777777" w:rsidR="00592C76" w:rsidRDefault="00592C76" w:rsidP="00F244C3">
            <w:pPr>
              <w:jc w:val="both"/>
              <w:rPr>
                <w:rFonts w:ascii="Times New Roman" w:hAnsi="Times New Roman"/>
                <w:b/>
                <w:bCs/>
                <w:sz w:val="20"/>
                <w:szCs w:val="20"/>
                <w:shd w:val="clear" w:color="auto" w:fill="FFFFFF"/>
              </w:rPr>
            </w:pPr>
          </w:p>
        </w:tc>
      </w:tr>
      <w:tr w:rsidR="00592C76" w14:paraId="79A5A9C2" w14:textId="77777777" w:rsidTr="00592C76">
        <w:trPr>
          <w:jc w:val="center"/>
        </w:trPr>
        <w:tc>
          <w:tcPr>
            <w:tcW w:w="2254" w:type="dxa"/>
            <w:tcBorders>
              <w:top w:val="single" w:sz="2" w:space="0" w:color="auto"/>
              <w:bottom w:val="single" w:sz="2" w:space="0" w:color="auto"/>
            </w:tcBorders>
          </w:tcPr>
          <w:p w14:paraId="2A49B2D9"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685EFDE1"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single" w:sz="2" w:space="0" w:color="auto"/>
            </w:tcBorders>
          </w:tcPr>
          <w:p w14:paraId="1F3E92C8" w14:textId="77777777" w:rsidR="00592C76" w:rsidRDefault="00592C76" w:rsidP="00F244C3">
            <w:pPr>
              <w:jc w:val="both"/>
              <w:rPr>
                <w:rFonts w:ascii="Times New Roman" w:hAnsi="Times New Roman"/>
                <w:b/>
                <w:bCs/>
                <w:sz w:val="20"/>
                <w:szCs w:val="20"/>
                <w:shd w:val="clear" w:color="auto" w:fill="FFFFFF"/>
              </w:rPr>
            </w:pPr>
          </w:p>
        </w:tc>
      </w:tr>
      <w:tr w:rsidR="00592C76" w14:paraId="67F765E9" w14:textId="77777777" w:rsidTr="00592C76">
        <w:trPr>
          <w:jc w:val="center"/>
        </w:trPr>
        <w:tc>
          <w:tcPr>
            <w:tcW w:w="2254" w:type="dxa"/>
            <w:tcBorders>
              <w:top w:val="single" w:sz="2" w:space="0" w:color="auto"/>
              <w:bottom w:val="nil"/>
            </w:tcBorders>
          </w:tcPr>
          <w:p w14:paraId="636E71FC"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1F17A9CA"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single" w:sz="2" w:space="0" w:color="auto"/>
              <w:bottom w:val="nil"/>
            </w:tcBorders>
          </w:tcPr>
          <w:p w14:paraId="69D96AAB" w14:textId="77777777" w:rsidR="00592C76" w:rsidRDefault="00592C76" w:rsidP="00F244C3">
            <w:pPr>
              <w:jc w:val="both"/>
              <w:rPr>
                <w:rFonts w:ascii="Times New Roman" w:hAnsi="Times New Roman"/>
                <w:b/>
                <w:bCs/>
                <w:sz w:val="20"/>
                <w:szCs w:val="20"/>
                <w:shd w:val="clear" w:color="auto" w:fill="FFFFFF"/>
              </w:rPr>
            </w:pPr>
          </w:p>
        </w:tc>
      </w:tr>
      <w:tr w:rsidR="00592C76" w14:paraId="6A34464D" w14:textId="77777777" w:rsidTr="00592C76">
        <w:trPr>
          <w:jc w:val="center"/>
        </w:trPr>
        <w:tc>
          <w:tcPr>
            <w:tcW w:w="2254" w:type="dxa"/>
            <w:tcBorders>
              <w:top w:val="nil"/>
            </w:tcBorders>
          </w:tcPr>
          <w:p w14:paraId="190D8393"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367D4F68" w14:textId="77777777" w:rsidR="00592C76" w:rsidRDefault="00592C76" w:rsidP="00F244C3">
            <w:pPr>
              <w:jc w:val="both"/>
              <w:rPr>
                <w:rFonts w:ascii="Times New Roman" w:hAnsi="Times New Roman"/>
                <w:b/>
                <w:bCs/>
                <w:sz w:val="20"/>
                <w:szCs w:val="20"/>
                <w:shd w:val="clear" w:color="auto" w:fill="FFFFFF"/>
              </w:rPr>
            </w:pPr>
          </w:p>
        </w:tc>
        <w:tc>
          <w:tcPr>
            <w:tcW w:w="2254" w:type="dxa"/>
            <w:tcBorders>
              <w:top w:val="nil"/>
            </w:tcBorders>
          </w:tcPr>
          <w:p w14:paraId="005C1AAF" w14:textId="77777777" w:rsidR="00592C76" w:rsidRDefault="00592C76" w:rsidP="00F244C3">
            <w:pPr>
              <w:jc w:val="both"/>
              <w:rPr>
                <w:rFonts w:ascii="Times New Roman" w:hAnsi="Times New Roman"/>
                <w:b/>
                <w:bCs/>
                <w:sz w:val="20"/>
                <w:szCs w:val="20"/>
                <w:shd w:val="clear" w:color="auto" w:fill="FFFFFF"/>
              </w:rPr>
            </w:pPr>
          </w:p>
        </w:tc>
      </w:tr>
    </w:tbl>
    <w:p w14:paraId="77A6ED96" w14:textId="20065D6D" w:rsidR="003C16C2" w:rsidRDefault="00EB61FB" w:rsidP="00F244C3">
      <w:pPr>
        <w:jc w:val="both"/>
        <w:rPr>
          <w:rFonts w:ascii="Times New Roman" w:hAnsi="Times New Roman"/>
          <w:b/>
          <w:bCs/>
          <w:sz w:val="20"/>
          <w:szCs w:val="20"/>
          <w:shd w:val="clear" w:color="auto" w:fill="FFFFFF"/>
        </w:rPr>
      </w:pPr>
      <w:r w:rsidRPr="00EB61FB">
        <w:rPr>
          <w:rFonts w:ascii="Times New Roman" w:hAnsi="Times New Roman"/>
          <w:b/>
          <w:bCs/>
          <w:noProof/>
          <w:sz w:val="20"/>
          <w:szCs w:val="20"/>
          <w:shd w:val="clear" w:color="auto" w:fill="FFFFFF"/>
        </w:rPr>
        <mc:AlternateContent>
          <mc:Choice Requires="wps">
            <w:drawing>
              <wp:anchor distT="45720" distB="45720" distL="114300" distR="114300" simplePos="0" relativeHeight="251659264" behindDoc="0" locked="0" layoutInCell="1" allowOverlap="1" wp14:anchorId="198B31C5" wp14:editId="6EC8CB1E">
                <wp:simplePos x="0" y="0"/>
                <wp:positionH relativeFrom="column">
                  <wp:posOffset>1468586</wp:posOffset>
                </wp:positionH>
                <wp:positionV relativeFrom="paragraph">
                  <wp:posOffset>210108</wp:posOffset>
                </wp:positionV>
                <wp:extent cx="2700655" cy="2478405"/>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2478405"/>
                        </a:xfrm>
                        <a:prstGeom prst="rect">
                          <a:avLst/>
                        </a:prstGeom>
                        <a:solidFill>
                          <a:srgbClr val="FFFFFF"/>
                        </a:solidFill>
                        <a:ln w="9525">
                          <a:solidFill>
                            <a:srgbClr val="000000"/>
                          </a:solidFill>
                          <a:miter lim="800000"/>
                          <a:headEnd/>
                          <a:tailEnd/>
                        </a:ln>
                      </wps:spPr>
                      <wps:txbx>
                        <w:txbxContent>
                          <w:p w14:paraId="34723B78" w14:textId="55D19ED0" w:rsidR="00EB61FB" w:rsidRDefault="00EB61FB" w:rsidP="00EB61FB">
                            <w:r>
                              <w:rPr>
                                <w:noProof/>
                              </w:rPr>
                              <w:drawing>
                                <wp:inline distT="0" distB="0" distL="0" distR="0" wp14:anchorId="65C66315" wp14:editId="1512AB44">
                                  <wp:extent cx="2378075" cy="2378075"/>
                                  <wp:effectExtent l="0" t="0" r="3175" b="3175"/>
                                  <wp:docPr id="226494058" name="Picture 2" descr="A graph showing a person's head and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4058" name="Picture 2" descr="A graph showing a person's head and a lightning bol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78075" cy="2378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B31C5" id="_x0000_t202" coordsize="21600,21600" o:spt="202" path="m,l,21600r21600,l21600,xe">
                <v:stroke joinstyle="miter"/>
                <v:path gradientshapeok="t" o:connecttype="rect"/>
              </v:shapetype>
              <v:shape id="Text Box 2" o:spid="_x0000_s1026" type="#_x0000_t202" style="position:absolute;left:0;text-align:left;margin-left:115.65pt;margin-top:16.55pt;width:212.65pt;height:19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">
                <v:textbox>
                  <w:txbxContent>
                    <w:p w14:paraId="34723B78" w14:textId="55D19ED0" w:rsidR="00EB61FB" w:rsidRDefault="00EB61FB" w:rsidP="00EB61FB">
                      <w:r>
                        <w:rPr>
                          <w:noProof/>
                        </w:rPr>
                        <w:drawing>
                          <wp:inline distT="0" distB="0" distL="0" distR="0" wp14:anchorId="65C66315" wp14:editId="1512AB44">
                            <wp:extent cx="2378075" cy="2378075"/>
                            <wp:effectExtent l="0" t="0" r="3175" b="3175"/>
                            <wp:docPr id="226494058" name="Picture 2" descr="A graph showing a person's head and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94058" name="Picture 2" descr="A graph showing a person's head and a lightning bol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8075" cy="2378075"/>
                                    </a:xfrm>
                                    <a:prstGeom prst="rect">
                                      <a:avLst/>
                                    </a:prstGeom>
                                  </pic:spPr>
                                </pic:pic>
                              </a:graphicData>
                            </a:graphic>
                          </wp:inline>
                        </w:drawing>
                      </w:r>
                    </w:p>
                  </w:txbxContent>
                </v:textbox>
                <w10:wrap type="square"/>
              </v:shape>
            </w:pict>
          </mc:Fallback>
        </mc:AlternateContent>
      </w:r>
    </w:p>
    <w:p w14:paraId="73A47332" w14:textId="6494156A" w:rsidR="00EB61FB" w:rsidRDefault="00EB61FB" w:rsidP="00EB61FB">
      <w:pPr>
        <w:spacing w:after="0"/>
        <w:jc w:val="center"/>
        <w:rPr>
          <w:rFonts w:ascii="Times New Roman" w:hAnsi="Times New Roman"/>
          <w:b/>
          <w:bCs/>
          <w:sz w:val="20"/>
          <w:szCs w:val="20"/>
          <w:shd w:val="clear" w:color="auto" w:fill="FFFFFF"/>
        </w:rPr>
      </w:pPr>
    </w:p>
    <w:p w14:paraId="7E6E3715" w14:textId="1C578F52" w:rsidR="00EB61FB" w:rsidRDefault="00EB61FB" w:rsidP="00EB61FB">
      <w:pPr>
        <w:spacing w:after="0"/>
        <w:jc w:val="center"/>
        <w:rPr>
          <w:rFonts w:ascii="Times New Roman" w:hAnsi="Times New Roman"/>
          <w:b/>
          <w:bCs/>
          <w:sz w:val="20"/>
          <w:szCs w:val="20"/>
          <w:shd w:val="clear" w:color="auto" w:fill="FFFFFF"/>
        </w:rPr>
      </w:pPr>
    </w:p>
    <w:p w14:paraId="7FC0D329" w14:textId="77777777" w:rsidR="00EB61FB" w:rsidRDefault="00EB61FB" w:rsidP="00EB61FB">
      <w:pPr>
        <w:spacing w:after="0"/>
        <w:jc w:val="center"/>
        <w:rPr>
          <w:rFonts w:ascii="Times New Roman" w:hAnsi="Times New Roman"/>
          <w:b/>
          <w:bCs/>
          <w:sz w:val="20"/>
          <w:szCs w:val="20"/>
          <w:shd w:val="clear" w:color="auto" w:fill="FFFFFF"/>
        </w:rPr>
      </w:pPr>
    </w:p>
    <w:p w14:paraId="61BDB53C" w14:textId="77777777" w:rsidR="00EB61FB" w:rsidRDefault="00EB61FB" w:rsidP="00EB61FB">
      <w:pPr>
        <w:spacing w:after="0"/>
        <w:jc w:val="center"/>
        <w:rPr>
          <w:rFonts w:ascii="Times New Roman" w:hAnsi="Times New Roman"/>
          <w:b/>
          <w:bCs/>
          <w:sz w:val="20"/>
          <w:szCs w:val="20"/>
          <w:shd w:val="clear" w:color="auto" w:fill="FFFFFF"/>
        </w:rPr>
      </w:pPr>
    </w:p>
    <w:p w14:paraId="0B8EE8FB" w14:textId="77777777" w:rsidR="00EB61FB" w:rsidRDefault="00EB61FB" w:rsidP="00EB61FB">
      <w:pPr>
        <w:spacing w:after="0"/>
        <w:jc w:val="center"/>
        <w:rPr>
          <w:rFonts w:ascii="Times New Roman" w:hAnsi="Times New Roman"/>
          <w:b/>
          <w:bCs/>
          <w:sz w:val="20"/>
          <w:szCs w:val="20"/>
          <w:shd w:val="clear" w:color="auto" w:fill="FFFFFF"/>
        </w:rPr>
      </w:pPr>
    </w:p>
    <w:p w14:paraId="1FF1C6C5" w14:textId="77777777" w:rsidR="00EB61FB" w:rsidRDefault="00EB61FB" w:rsidP="00EB61FB">
      <w:pPr>
        <w:spacing w:after="0"/>
        <w:jc w:val="center"/>
        <w:rPr>
          <w:rFonts w:ascii="Times New Roman" w:hAnsi="Times New Roman"/>
          <w:b/>
          <w:bCs/>
          <w:sz w:val="20"/>
          <w:szCs w:val="20"/>
          <w:shd w:val="clear" w:color="auto" w:fill="FFFFFF"/>
        </w:rPr>
      </w:pPr>
    </w:p>
    <w:p w14:paraId="0C1FBFB2" w14:textId="77777777" w:rsidR="00EB61FB" w:rsidRDefault="00EB61FB" w:rsidP="00EB61FB">
      <w:pPr>
        <w:spacing w:after="0"/>
        <w:jc w:val="center"/>
        <w:rPr>
          <w:rFonts w:ascii="Times New Roman" w:hAnsi="Times New Roman"/>
          <w:b/>
          <w:bCs/>
          <w:sz w:val="20"/>
          <w:szCs w:val="20"/>
          <w:shd w:val="clear" w:color="auto" w:fill="FFFFFF"/>
        </w:rPr>
      </w:pPr>
    </w:p>
    <w:p w14:paraId="4989CB7A" w14:textId="77777777" w:rsidR="00EB61FB" w:rsidRDefault="00EB61FB" w:rsidP="00EB61FB">
      <w:pPr>
        <w:spacing w:after="0"/>
        <w:jc w:val="center"/>
        <w:rPr>
          <w:rFonts w:ascii="Times New Roman" w:hAnsi="Times New Roman"/>
          <w:b/>
          <w:bCs/>
          <w:sz w:val="20"/>
          <w:szCs w:val="20"/>
          <w:shd w:val="clear" w:color="auto" w:fill="FFFFFF"/>
        </w:rPr>
      </w:pPr>
    </w:p>
    <w:p w14:paraId="047D310A" w14:textId="77777777" w:rsidR="00EB61FB" w:rsidRDefault="00EB61FB" w:rsidP="00EB61FB">
      <w:pPr>
        <w:spacing w:after="0"/>
        <w:jc w:val="center"/>
        <w:rPr>
          <w:rFonts w:ascii="Times New Roman" w:hAnsi="Times New Roman"/>
          <w:b/>
          <w:bCs/>
          <w:sz w:val="20"/>
          <w:szCs w:val="20"/>
          <w:shd w:val="clear" w:color="auto" w:fill="FFFFFF"/>
        </w:rPr>
      </w:pPr>
    </w:p>
    <w:p w14:paraId="0F074F8B" w14:textId="77777777" w:rsidR="00EB61FB" w:rsidRDefault="00EB61FB" w:rsidP="00EB61FB">
      <w:pPr>
        <w:spacing w:after="0"/>
        <w:jc w:val="center"/>
        <w:rPr>
          <w:rFonts w:ascii="Times New Roman" w:hAnsi="Times New Roman"/>
          <w:b/>
          <w:bCs/>
          <w:sz w:val="20"/>
          <w:szCs w:val="20"/>
          <w:shd w:val="clear" w:color="auto" w:fill="FFFFFF"/>
        </w:rPr>
      </w:pPr>
    </w:p>
    <w:p w14:paraId="142F4BFC" w14:textId="77777777" w:rsidR="00EB61FB" w:rsidRDefault="00EB61FB" w:rsidP="00EB61FB">
      <w:pPr>
        <w:spacing w:after="0"/>
        <w:jc w:val="center"/>
        <w:rPr>
          <w:rFonts w:ascii="Times New Roman" w:hAnsi="Times New Roman"/>
          <w:b/>
          <w:bCs/>
          <w:sz w:val="20"/>
          <w:szCs w:val="20"/>
          <w:shd w:val="clear" w:color="auto" w:fill="FFFFFF"/>
        </w:rPr>
      </w:pPr>
    </w:p>
    <w:p w14:paraId="33D2A73D" w14:textId="77777777" w:rsidR="00EB61FB" w:rsidRDefault="00EB61FB" w:rsidP="00EB61FB">
      <w:pPr>
        <w:spacing w:after="0"/>
        <w:jc w:val="center"/>
        <w:rPr>
          <w:rFonts w:ascii="Times New Roman" w:hAnsi="Times New Roman"/>
          <w:b/>
          <w:bCs/>
          <w:sz w:val="20"/>
          <w:szCs w:val="20"/>
          <w:shd w:val="clear" w:color="auto" w:fill="FFFFFF"/>
        </w:rPr>
      </w:pPr>
    </w:p>
    <w:p w14:paraId="0393C081" w14:textId="77777777" w:rsidR="00EB61FB" w:rsidRDefault="00EB61FB" w:rsidP="00EB61FB">
      <w:pPr>
        <w:spacing w:after="0"/>
        <w:jc w:val="center"/>
        <w:rPr>
          <w:rFonts w:ascii="Times New Roman" w:hAnsi="Times New Roman"/>
          <w:b/>
          <w:bCs/>
          <w:sz w:val="20"/>
          <w:szCs w:val="20"/>
          <w:shd w:val="clear" w:color="auto" w:fill="FFFFFF"/>
        </w:rPr>
      </w:pPr>
    </w:p>
    <w:p w14:paraId="5B8EB930" w14:textId="77777777" w:rsidR="00EB61FB" w:rsidRDefault="00EB61FB" w:rsidP="00EB61FB">
      <w:pPr>
        <w:spacing w:after="0"/>
        <w:jc w:val="center"/>
        <w:rPr>
          <w:rFonts w:ascii="Times New Roman" w:hAnsi="Times New Roman"/>
          <w:b/>
          <w:bCs/>
          <w:sz w:val="20"/>
          <w:szCs w:val="20"/>
          <w:shd w:val="clear" w:color="auto" w:fill="FFFFFF"/>
        </w:rPr>
      </w:pPr>
    </w:p>
    <w:p w14:paraId="37268D1E" w14:textId="77777777" w:rsidR="00EB61FB" w:rsidRDefault="00EB61FB" w:rsidP="00EB61FB">
      <w:pPr>
        <w:spacing w:after="0"/>
        <w:jc w:val="center"/>
        <w:rPr>
          <w:rFonts w:ascii="Times New Roman" w:hAnsi="Times New Roman"/>
          <w:b/>
          <w:bCs/>
          <w:sz w:val="20"/>
          <w:szCs w:val="20"/>
          <w:shd w:val="clear" w:color="auto" w:fill="FFFFFF"/>
        </w:rPr>
      </w:pPr>
    </w:p>
    <w:p w14:paraId="76DBB43F" w14:textId="77777777" w:rsidR="00EB61FB" w:rsidRDefault="00EB61FB" w:rsidP="00EB61FB">
      <w:pPr>
        <w:spacing w:after="0"/>
        <w:jc w:val="center"/>
        <w:rPr>
          <w:rFonts w:ascii="Times New Roman" w:hAnsi="Times New Roman"/>
          <w:b/>
          <w:bCs/>
          <w:sz w:val="20"/>
          <w:szCs w:val="20"/>
          <w:shd w:val="clear" w:color="auto" w:fill="FFFFFF"/>
        </w:rPr>
      </w:pPr>
    </w:p>
    <w:p w14:paraId="260478C0" w14:textId="3DE57A34" w:rsidR="003C16C2" w:rsidRDefault="00EB61FB" w:rsidP="00EB61FB">
      <w:pPr>
        <w:spacing w:after="0"/>
        <w:jc w:val="center"/>
        <w:rPr>
          <w:rFonts w:ascii="Times New Roman" w:hAnsi="Times New Roman"/>
          <w:sz w:val="20"/>
          <w:szCs w:val="20"/>
          <w:shd w:val="clear" w:color="auto" w:fill="FFFFFF"/>
        </w:rPr>
      </w:pPr>
      <w:r>
        <w:rPr>
          <w:rFonts w:ascii="Times New Roman" w:hAnsi="Times New Roman"/>
          <w:b/>
          <w:bCs/>
          <w:sz w:val="20"/>
          <w:szCs w:val="20"/>
          <w:shd w:val="clear" w:color="auto" w:fill="FFFFFF"/>
        </w:rPr>
        <w:t xml:space="preserve">Figure 1. </w:t>
      </w:r>
      <w:r w:rsidRPr="00EB61FB">
        <w:rPr>
          <w:rFonts w:ascii="Times New Roman" w:hAnsi="Times New Roman"/>
          <w:sz w:val="20"/>
          <w:szCs w:val="20"/>
          <w:shd w:val="clear" w:color="auto" w:fill="FFFFFF"/>
        </w:rPr>
        <w:t>Employee Increasingly Under Stress</w:t>
      </w:r>
    </w:p>
    <w:p w14:paraId="6DB8BB76" w14:textId="358025EF" w:rsidR="00EB61FB" w:rsidRDefault="00EB61FB" w:rsidP="00EB61FB">
      <w:pPr>
        <w:spacing w:after="0"/>
        <w:jc w:val="center"/>
        <w:rPr>
          <w:rFonts w:ascii="Times New Roman" w:hAnsi="Times New Roman"/>
          <w:b/>
          <w:bCs/>
          <w:sz w:val="20"/>
          <w:szCs w:val="20"/>
          <w:shd w:val="clear" w:color="auto" w:fill="FFFFFF"/>
        </w:rPr>
      </w:pPr>
      <w:r>
        <w:rPr>
          <w:rFonts w:ascii="Times New Roman" w:hAnsi="Times New Roman"/>
          <w:sz w:val="20"/>
          <w:szCs w:val="20"/>
          <w:shd w:val="clear" w:color="auto" w:fill="FFFFFF"/>
        </w:rPr>
        <w:t xml:space="preserve">Source: </w:t>
      </w:r>
      <w:r w:rsidRPr="00EB61FB">
        <w:rPr>
          <w:rFonts w:ascii="Times New Roman" w:hAnsi="Times New Roman"/>
          <w:sz w:val="20"/>
          <w:szCs w:val="20"/>
          <w:shd w:val="clear" w:color="auto" w:fill="FFFFFF"/>
        </w:rPr>
        <w:t>https://www.statista.com/chart/26363/share-employees-feeling-stress-timeline/</w:t>
      </w:r>
    </w:p>
    <w:p w14:paraId="4F592E31" w14:textId="77777777" w:rsidR="003C16C2" w:rsidRPr="003C16C2" w:rsidRDefault="003C16C2" w:rsidP="00F244C3">
      <w:pPr>
        <w:jc w:val="both"/>
        <w:rPr>
          <w:rFonts w:ascii="Times New Roman" w:hAnsi="Times New Roman"/>
          <w:b/>
          <w:bCs/>
          <w:sz w:val="20"/>
          <w:szCs w:val="20"/>
          <w:shd w:val="clear" w:color="auto" w:fill="FFFFFF"/>
        </w:rPr>
      </w:pPr>
    </w:p>
    <w:p w14:paraId="5BD6466F" w14:textId="63FF79B3" w:rsidR="00F244C3" w:rsidRPr="00F244C3" w:rsidRDefault="00F244C3" w:rsidP="00F244C3">
      <w:pPr>
        <w:jc w:val="both"/>
        <w:rPr>
          <w:rFonts w:ascii="Times New Roman" w:hAnsi="Times New Roman"/>
          <w:i/>
          <w:iCs/>
          <w:sz w:val="20"/>
          <w:szCs w:val="20"/>
          <w:shd w:val="clear" w:color="auto" w:fill="FFFFFF"/>
        </w:rPr>
      </w:pPr>
      <w:r w:rsidRPr="00F244C3">
        <w:rPr>
          <w:rFonts w:ascii="Times New Roman" w:hAnsi="Times New Roman"/>
          <w:b/>
          <w:bCs/>
          <w:i/>
          <w:iCs/>
          <w:sz w:val="20"/>
          <w:szCs w:val="20"/>
          <w:shd w:val="clear" w:color="auto" w:fill="FFFFFF"/>
        </w:rPr>
        <w:t>Discussion</w:t>
      </w:r>
      <w:r w:rsidR="00F70691">
        <w:rPr>
          <w:rFonts w:ascii="Times New Roman" w:hAnsi="Times New Roman"/>
          <w:b/>
          <w:bCs/>
          <w:i/>
          <w:iCs/>
          <w:sz w:val="20"/>
          <w:szCs w:val="20"/>
          <w:shd w:val="clear" w:color="auto" w:fill="FFFFFF"/>
        </w:rPr>
        <w:t xml:space="preserve"> / </w:t>
      </w:r>
      <w:proofErr w:type="spellStart"/>
      <w:r w:rsidR="00F70691">
        <w:rPr>
          <w:rFonts w:ascii="Times New Roman" w:hAnsi="Times New Roman"/>
          <w:b/>
          <w:bCs/>
          <w:i/>
          <w:iCs/>
          <w:sz w:val="20"/>
          <w:szCs w:val="20"/>
          <w:shd w:val="clear" w:color="auto" w:fill="FFFFFF"/>
        </w:rPr>
        <w:t>Pembahasan</w:t>
      </w:r>
      <w:proofErr w:type="spellEnd"/>
    </w:p>
    <w:p w14:paraId="0E6ABC6B"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Authors are asked to provide the raw data in connection with a paper for editorial review and should be prepared to provide public access to such data (consistent with the ALPSP-STM Statement on Data and Databases), if practicable, and should, in any event, be prepared to retain such data for a reasonable time after publication.</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authors should ensure that they have written entirely original actions and if the authors have used the works, or words of others that this has appropriately cited or quoted.</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An author should not, in general, publish manuscripts describing essentially the same research in more than one journal or primary publication. Submitting the same paper concurrently to more than one journal constitutes unethical publishing behavior and is unacceptable.</w:t>
      </w:r>
    </w:p>
    <w:p w14:paraId="1AD832B9" w14:textId="7F1B7BC1"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lastRenderedPageBreak/>
        <w:t>Proper acknowledgment of the work of others must always be given. Authors should cite publications that have been influential in determining the nature of the reported work.</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Authorship should be limited to those who have made a significant contribution to the conception, design, execution, or interpretation of the reported study. All those who have made significant contributions should be listed as co-authors. Where there are others who have participated in certain substantive aspects of the research project, they should be acknowledged or listed as contributors. The corresponding author should ensure that all appropriate co-authors and no inappropriate co-authors are included on the paper and that all co-authors have seen and approved the final version of the article and have agreed to its submission for publication.</w:t>
      </w:r>
    </w:p>
    <w:p w14:paraId="448428F8" w14:textId="5BFA2DB0"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When an author discovers a significant error or inaccuracy in his/her own published work, it is the author’s obligation to promptly notify the journal editor or publisher and cooperate with the editor to retract or correct the paper.</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The self-citation refers to when an author refers to the previous work written by him/her alone or in co-authorship and cites it. Self-cites are used to compare current results of the research with earlier findings when continuing to study the same subject. It seems that the only reasonable solution for the issues of self-plagiarism, research integrity, and originality is to limit the number of self-citations.</w:t>
      </w:r>
    </w:p>
    <w:p w14:paraId="3750DAF5" w14:textId="4DD363F3"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 xml:space="preserve">This journal Self-Citation Restriction Policy regulates that the self-citation level should not exceed 10% for an author, 20% for co-authors together, and 15% for </w:t>
      </w:r>
      <w:r w:rsidR="00DC5053" w:rsidRPr="00DC5053">
        <w:rPr>
          <w:rFonts w:ascii="Times New Roman" w:hAnsi="Times New Roman"/>
          <w:sz w:val="20"/>
          <w:szCs w:val="20"/>
          <w:shd w:val="clear" w:color="auto" w:fill="FFFFFF"/>
        </w:rPr>
        <w:t>The Comprehensive Occupational Health and Safety Reviews</w:t>
      </w:r>
      <w:r w:rsidRPr="00E21DC1">
        <w:rPr>
          <w:rFonts w:ascii="Times New Roman" w:hAnsi="Times New Roman"/>
          <w:sz w:val="20"/>
          <w:szCs w:val="20"/>
          <w:shd w:val="clear" w:color="auto" w:fill="FFFFFF"/>
        </w:rPr>
        <w:t>. If the reference checker (software) finds that this rule has been broken, then the manuscript will be automatically rejected by the Desk Editor without further review.</w:t>
      </w:r>
      <w:r>
        <w:rPr>
          <w:rFonts w:ascii="Times New Roman" w:hAnsi="Times New Roman"/>
          <w:sz w:val="20"/>
          <w:szCs w:val="20"/>
          <w:shd w:val="clear" w:color="auto" w:fill="FFFFFF"/>
        </w:rPr>
        <w:t xml:space="preserve"> </w:t>
      </w:r>
      <w:r w:rsidRPr="00E21DC1">
        <w:rPr>
          <w:rFonts w:ascii="Times New Roman" w:hAnsi="Times New Roman"/>
          <w:sz w:val="20"/>
          <w:szCs w:val="20"/>
          <w:shd w:val="clear" w:color="auto" w:fill="FFFFFF"/>
        </w:rPr>
        <w:t>All work in the manuscript should be avoided of any plagiarism, falsification, fabrications, or omission of significant material. Authors are expected to explicitly cite others' work and ideas, even if the work or ideas are not quoted verbatim or paraphrased. This standard applies whether the previous work is published, unpublished, or electronically available. Failure to properly cite the work of others may constitute plagiarism. Plagiarism in all its forms constitutes unethical publishing behaviour and is unacceptable.</w:t>
      </w:r>
    </w:p>
    <w:p w14:paraId="33ECA7CB" w14:textId="77777777" w:rsidR="00E21DC1" w:rsidRPr="00E21DC1" w:rsidRDefault="00E21DC1" w:rsidP="00E21DC1">
      <w:pPr>
        <w:jc w:val="both"/>
        <w:rPr>
          <w:rFonts w:ascii="Times New Roman" w:hAnsi="Times New Roman"/>
          <w:sz w:val="20"/>
          <w:szCs w:val="20"/>
          <w:shd w:val="clear" w:color="auto" w:fill="FFFFFF"/>
        </w:rPr>
      </w:pPr>
    </w:p>
    <w:p w14:paraId="5E197EF5" w14:textId="77777777" w:rsidR="00F26F95" w:rsidRPr="00F244C3" w:rsidRDefault="00F26F95" w:rsidP="00F26F95">
      <w:pPr>
        <w:jc w:val="both"/>
        <w:rPr>
          <w:rFonts w:ascii="Times New Roman" w:hAnsi="Times New Roman"/>
          <w:b/>
          <w:bCs/>
          <w:sz w:val="20"/>
          <w:szCs w:val="20"/>
          <w:shd w:val="clear" w:color="auto" w:fill="FFFFFF"/>
        </w:rPr>
      </w:pPr>
      <w:r>
        <w:rPr>
          <w:rFonts w:ascii="Times New Roman" w:hAnsi="Times New Roman"/>
          <w:b/>
          <w:bCs/>
          <w:sz w:val="20"/>
          <w:szCs w:val="20"/>
          <w:shd w:val="clear" w:color="auto" w:fill="FFFFFF"/>
        </w:rPr>
        <w:t>CONCLUSION / SIMPULAN</w:t>
      </w:r>
    </w:p>
    <w:p w14:paraId="2E7C8077" w14:textId="57218DD3" w:rsidR="00E21DC1" w:rsidRPr="00E21DC1" w:rsidRDefault="00DC5053" w:rsidP="00E21DC1">
      <w:pPr>
        <w:jc w:val="both"/>
        <w:rPr>
          <w:rFonts w:ascii="Times New Roman" w:hAnsi="Times New Roman"/>
          <w:sz w:val="20"/>
          <w:szCs w:val="20"/>
          <w:shd w:val="clear" w:color="auto" w:fill="FFFFFF"/>
        </w:rPr>
      </w:pPr>
      <w:r w:rsidRPr="00DC5053">
        <w:rPr>
          <w:rFonts w:ascii="Times New Roman" w:hAnsi="Times New Roman"/>
          <w:sz w:val="20"/>
          <w:szCs w:val="20"/>
          <w:shd w:val="clear" w:color="auto" w:fill="FFFFFF"/>
        </w:rPr>
        <w:t xml:space="preserve">The Comprehensive Occupational Health and Safety Reviews </w:t>
      </w:r>
      <w:r w:rsidR="00E21DC1" w:rsidRPr="00E21DC1">
        <w:rPr>
          <w:rFonts w:ascii="Times New Roman" w:hAnsi="Times New Roman"/>
          <w:sz w:val="20"/>
          <w:szCs w:val="20"/>
          <w:shd w:val="clear" w:color="auto" w:fill="FFFFFF"/>
        </w:rPr>
        <w:t xml:space="preserve">applies a minimum standard of similarity score of the manuscript under 20%. If the manuscript performs above 20%, the article should be revised or rejected. </w:t>
      </w:r>
      <w:r w:rsidR="00646485" w:rsidRPr="00646485">
        <w:rPr>
          <w:rFonts w:ascii="Times New Roman" w:hAnsi="Times New Roman"/>
          <w:sz w:val="20"/>
          <w:szCs w:val="20"/>
          <w:shd w:val="clear" w:color="auto" w:fill="FFFFFF"/>
        </w:rPr>
        <w:t>The Comprehensive Occupational Health and Safety Reviews</w:t>
      </w:r>
      <w:r w:rsidR="00E21DC1" w:rsidRPr="00E21DC1">
        <w:rPr>
          <w:rFonts w:ascii="Times New Roman" w:hAnsi="Times New Roman"/>
          <w:sz w:val="20"/>
          <w:szCs w:val="20"/>
          <w:shd w:val="clear" w:color="auto" w:fill="FFFFFF"/>
        </w:rPr>
        <w:t xml:space="preserve"> applies a screening for plagiarism using Turnitin.</w:t>
      </w:r>
      <w:r w:rsidR="00E21DC1">
        <w:rPr>
          <w:rFonts w:ascii="Times New Roman" w:hAnsi="Times New Roman"/>
          <w:sz w:val="20"/>
          <w:szCs w:val="20"/>
          <w:shd w:val="clear" w:color="auto" w:fill="FFFFFF"/>
        </w:rPr>
        <w:t xml:space="preserve"> </w:t>
      </w:r>
      <w:r w:rsidRPr="00DC5053">
        <w:rPr>
          <w:rFonts w:ascii="Times New Roman" w:hAnsi="Times New Roman"/>
          <w:sz w:val="20"/>
          <w:szCs w:val="20"/>
          <w:shd w:val="clear" w:color="auto" w:fill="FFFFFF"/>
        </w:rPr>
        <w:t>The Comprehensive Occupational Health and Safety Reviews</w:t>
      </w:r>
      <w:r w:rsidR="00E21DC1" w:rsidRPr="00E21DC1">
        <w:rPr>
          <w:rFonts w:ascii="Times New Roman" w:hAnsi="Times New Roman"/>
          <w:sz w:val="20"/>
          <w:szCs w:val="20"/>
          <w:shd w:val="clear" w:color="auto" w:fill="FFFFFF"/>
        </w:rPr>
        <w:t xml:space="preserve"> takes its responsibility to maintain the integrity and completeness of the scholarly record of our content for all end users very seriously. Changes to articles after they have been published online may only be made under the circumstances outlined below. </w:t>
      </w:r>
      <w:r w:rsidRPr="00DC5053">
        <w:rPr>
          <w:rFonts w:ascii="Times New Roman" w:hAnsi="Times New Roman"/>
          <w:sz w:val="20"/>
          <w:szCs w:val="20"/>
          <w:shd w:val="clear" w:color="auto" w:fill="FFFFFF"/>
        </w:rPr>
        <w:t xml:space="preserve">The Comprehensive Occupational Health and Safety Reviews </w:t>
      </w:r>
      <w:r w:rsidR="00E21DC1" w:rsidRPr="00E21DC1">
        <w:rPr>
          <w:rFonts w:ascii="Times New Roman" w:hAnsi="Times New Roman"/>
          <w:sz w:val="20"/>
          <w:szCs w:val="20"/>
          <w:shd w:val="clear" w:color="auto" w:fill="FFFFFF"/>
        </w:rPr>
        <w:t>places great importance on the authority of articles after they have been published and our policy is based on best practice in the academic publishing community.</w:t>
      </w:r>
      <w:r>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An Erratum is a statement by the authors of the original paper that briefly describes any correction(s) resulting from errors or omissions. Any effects on the conclusions of the paper should be noted. The corrected article is not removed from the online journal but notice of erratum is given. The Erratum is made freely available to all readers and is linked to the corrected article.</w:t>
      </w:r>
      <w:r w:rsidR="00E21DC1">
        <w:rPr>
          <w:rFonts w:ascii="Times New Roman" w:hAnsi="Times New Roman"/>
          <w:sz w:val="20"/>
          <w:szCs w:val="20"/>
          <w:shd w:val="clear" w:color="auto" w:fill="FFFFFF"/>
        </w:rPr>
        <w:t xml:space="preserve"> </w:t>
      </w:r>
      <w:r w:rsidR="00E21DC1" w:rsidRPr="00E21DC1">
        <w:rPr>
          <w:rFonts w:ascii="Times New Roman" w:hAnsi="Times New Roman"/>
          <w:sz w:val="20"/>
          <w:szCs w:val="20"/>
          <w:shd w:val="clear" w:color="auto" w:fill="FFFFFF"/>
        </w:rPr>
        <w:t>A Retraction is a notice that the paper should not be regarded as part of the scientific literature. Retractions are issued if there is clear evidence that the findings are unreliable, this can be because of misconduct or honest error; if the findings have previously been published elsewhere without proper referencing, permission, or justification; if the work is plagiarized; or if the work reports unethical research.</w:t>
      </w:r>
    </w:p>
    <w:p w14:paraId="79592121" w14:textId="77777777" w:rsidR="00E21DC1" w:rsidRPr="00E21DC1" w:rsidRDefault="00E21DC1" w:rsidP="00E21DC1">
      <w:pPr>
        <w:jc w:val="both"/>
        <w:rPr>
          <w:rFonts w:ascii="Times New Roman" w:hAnsi="Times New Roman"/>
          <w:sz w:val="20"/>
          <w:szCs w:val="20"/>
          <w:shd w:val="clear" w:color="auto" w:fill="FFFFFF"/>
        </w:rPr>
      </w:pPr>
    </w:p>
    <w:p w14:paraId="1EC6CA76" w14:textId="469BFD56" w:rsidR="00F244C3" w:rsidRPr="00F244C3" w:rsidRDefault="00F244C3" w:rsidP="00F244C3">
      <w:pPr>
        <w:jc w:val="both"/>
        <w:rPr>
          <w:rFonts w:ascii="Times New Roman" w:hAnsi="Times New Roman"/>
          <w:b/>
          <w:bCs/>
          <w:i/>
          <w:iCs/>
          <w:sz w:val="20"/>
          <w:szCs w:val="20"/>
          <w:shd w:val="clear" w:color="auto" w:fill="FFFFFF"/>
        </w:rPr>
      </w:pPr>
      <w:bookmarkStart w:id="0" w:name="_Hlk155085930"/>
      <w:r w:rsidRPr="00F244C3">
        <w:rPr>
          <w:rFonts w:ascii="Times New Roman" w:hAnsi="Times New Roman"/>
          <w:b/>
          <w:bCs/>
          <w:i/>
          <w:iCs/>
          <w:sz w:val="20"/>
          <w:szCs w:val="20"/>
          <w:shd w:val="clear" w:color="auto" w:fill="FFFFFF"/>
        </w:rPr>
        <w:t>Theoretical Implications</w:t>
      </w:r>
      <w:r w:rsidR="0064097F">
        <w:rPr>
          <w:rFonts w:ascii="Times New Roman" w:hAnsi="Times New Roman"/>
          <w:b/>
          <w:bCs/>
          <w:i/>
          <w:iCs/>
          <w:sz w:val="20"/>
          <w:szCs w:val="20"/>
          <w:shd w:val="clear" w:color="auto" w:fill="FFFFFF"/>
        </w:rPr>
        <w:t xml:space="preserve"> / </w:t>
      </w:r>
      <w:proofErr w:type="spellStart"/>
      <w:r w:rsidR="0064097F">
        <w:rPr>
          <w:rFonts w:ascii="Times New Roman" w:hAnsi="Times New Roman"/>
          <w:b/>
          <w:bCs/>
          <w:i/>
          <w:iCs/>
          <w:sz w:val="20"/>
          <w:szCs w:val="20"/>
          <w:shd w:val="clear" w:color="auto" w:fill="FFFFFF"/>
        </w:rPr>
        <w:t>Implikasi</w:t>
      </w:r>
      <w:proofErr w:type="spellEnd"/>
      <w:r w:rsidR="0064097F">
        <w:rPr>
          <w:rFonts w:ascii="Times New Roman" w:hAnsi="Times New Roman"/>
          <w:b/>
          <w:bCs/>
          <w:i/>
          <w:iCs/>
          <w:sz w:val="20"/>
          <w:szCs w:val="20"/>
          <w:shd w:val="clear" w:color="auto" w:fill="FFFFFF"/>
        </w:rPr>
        <w:t xml:space="preserve"> </w:t>
      </w:r>
      <w:proofErr w:type="spellStart"/>
      <w:r w:rsidR="0064097F">
        <w:rPr>
          <w:rFonts w:ascii="Times New Roman" w:hAnsi="Times New Roman"/>
          <w:b/>
          <w:bCs/>
          <w:i/>
          <w:iCs/>
          <w:sz w:val="20"/>
          <w:szCs w:val="20"/>
          <w:shd w:val="clear" w:color="auto" w:fill="FFFFFF"/>
        </w:rPr>
        <w:t>Teoritis</w:t>
      </w:r>
      <w:proofErr w:type="spellEnd"/>
    </w:p>
    <w:bookmarkEnd w:id="0"/>
    <w:p w14:paraId="5A88A87C"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To protect the integrity of the record, the retracted article is not removed from the online journal, but notice of retraction is given, is made freely available to all readers, and is linked to the retracted article. Retractions can be published by the authors when they have discovered substantial scientific errors; in other cases, the Editors or Publisher may conclude that retraction is appropriate. In all cases, the retraction indicates the reason for the action and who is responsible for the decision. If a retraction is made without the unanimous agreement of the authors, that is also noted. In rare and extreme cases involving legal infringement, the Publisher may redact or remove an article. Bibliographic information about the article will be retained to ensure the integrity of the scientific record.</w:t>
      </w:r>
    </w:p>
    <w:p w14:paraId="47B483EC" w14:textId="77777777" w:rsidR="00E21DC1" w:rsidRPr="00E21DC1" w:rsidRDefault="00E21DC1" w:rsidP="00E21DC1">
      <w:pPr>
        <w:jc w:val="both"/>
        <w:rPr>
          <w:rFonts w:ascii="Times New Roman" w:hAnsi="Times New Roman"/>
          <w:sz w:val="20"/>
          <w:szCs w:val="20"/>
          <w:shd w:val="clear" w:color="auto" w:fill="FFFFFF"/>
        </w:rPr>
      </w:pPr>
    </w:p>
    <w:p w14:paraId="2CD770C3" w14:textId="3C0B7C2F" w:rsidR="00F244C3" w:rsidRPr="00F244C3" w:rsidRDefault="00F244C3" w:rsidP="00F244C3">
      <w:pPr>
        <w:jc w:val="both"/>
        <w:rPr>
          <w:rFonts w:ascii="Times New Roman" w:hAnsi="Times New Roman"/>
          <w:b/>
          <w:bCs/>
          <w:i/>
          <w:iCs/>
          <w:sz w:val="20"/>
          <w:szCs w:val="20"/>
          <w:shd w:val="clear" w:color="auto" w:fill="FFFFFF"/>
        </w:rPr>
      </w:pPr>
      <w:bookmarkStart w:id="1" w:name="_Hlk155085935"/>
      <w:r>
        <w:rPr>
          <w:rFonts w:ascii="Times New Roman" w:hAnsi="Times New Roman"/>
          <w:b/>
          <w:bCs/>
          <w:i/>
          <w:iCs/>
          <w:sz w:val="20"/>
          <w:szCs w:val="20"/>
          <w:shd w:val="clear" w:color="auto" w:fill="FFFFFF"/>
        </w:rPr>
        <w:lastRenderedPageBreak/>
        <w:t xml:space="preserve">Practical </w:t>
      </w:r>
      <w:r w:rsidRPr="00F244C3">
        <w:rPr>
          <w:rFonts w:ascii="Times New Roman" w:hAnsi="Times New Roman"/>
          <w:b/>
          <w:bCs/>
          <w:i/>
          <w:iCs/>
          <w:sz w:val="20"/>
          <w:szCs w:val="20"/>
          <w:shd w:val="clear" w:color="auto" w:fill="FFFFFF"/>
        </w:rPr>
        <w:t>Implications</w:t>
      </w:r>
      <w:r w:rsidR="0064097F">
        <w:rPr>
          <w:rFonts w:ascii="Times New Roman" w:hAnsi="Times New Roman"/>
          <w:b/>
          <w:bCs/>
          <w:i/>
          <w:iCs/>
          <w:sz w:val="20"/>
          <w:szCs w:val="20"/>
          <w:shd w:val="clear" w:color="auto" w:fill="FFFFFF"/>
        </w:rPr>
        <w:t xml:space="preserve"> / </w:t>
      </w:r>
      <w:proofErr w:type="spellStart"/>
      <w:r w:rsidR="0064097F">
        <w:rPr>
          <w:rFonts w:ascii="Times New Roman" w:hAnsi="Times New Roman"/>
          <w:b/>
          <w:bCs/>
          <w:i/>
          <w:iCs/>
          <w:sz w:val="20"/>
          <w:szCs w:val="20"/>
          <w:shd w:val="clear" w:color="auto" w:fill="FFFFFF"/>
        </w:rPr>
        <w:t>Implikasi</w:t>
      </w:r>
      <w:proofErr w:type="spellEnd"/>
      <w:r w:rsidR="0064097F">
        <w:rPr>
          <w:rFonts w:ascii="Times New Roman" w:hAnsi="Times New Roman"/>
          <w:b/>
          <w:bCs/>
          <w:i/>
          <w:iCs/>
          <w:sz w:val="20"/>
          <w:szCs w:val="20"/>
          <w:shd w:val="clear" w:color="auto" w:fill="FFFFFF"/>
        </w:rPr>
        <w:t xml:space="preserve"> </w:t>
      </w:r>
      <w:proofErr w:type="spellStart"/>
      <w:r w:rsidR="0064097F">
        <w:rPr>
          <w:rFonts w:ascii="Times New Roman" w:hAnsi="Times New Roman"/>
          <w:b/>
          <w:bCs/>
          <w:i/>
          <w:iCs/>
          <w:sz w:val="20"/>
          <w:szCs w:val="20"/>
          <w:shd w:val="clear" w:color="auto" w:fill="FFFFFF"/>
        </w:rPr>
        <w:t>Praktis</w:t>
      </w:r>
      <w:proofErr w:type="spellEnd"/>
    </w:p>
    <w:bookmarkEnd w:id="1"/>
    <w:p w14:paraId="4782AB38" w14:textId="77777777" w:rsidR="00E21DC1" w:rsidRPr="00E21DC1" w:rsidRDefault="00E21DC1" w:rsidP="00E21DC1">
      <w:pPr>
        <w:jc w:val="both"/>
        <w:rPr>
          <w:rFonts w:ascii="Times New Roman" w:hAnsi="Times New Roman"/>
          <w:sz w:val="20"/>
          <w:szCs w:val="20"/>
          <w:shd w:val="clear" w:color="auto" w:fill="FFFFFF"/>
        </w:rPr>
      </w:pPr>
      <w:r w:rsidRPr="00E21DC1">
        <w:rPr>
          <w:rFonts w:ascii="Times New Roman" w:hAnsi="Times New Roman"/>
          <w:sz w:val="20"/>
          <w:szCs w:val="20"/>
          <w:shd w:val="clear" w:color="auto" w:fill="FFFFFF"/>
        </w:rPr>
        <w:t>A Publisher's Note notifies readers that an article has been corrected after publication. It is issued by the Publisher and is used in cases where typographical or production errors (which are the fault of the Publisher) affect the integrity of the article metadata (such as title, author list or byline) or will significantly impact the readers' ability to comprehend the article. The original article is removed and replaced with a corrected version. Publisher's Notes are freely available to all readers. Minor errors that do not affect the integrity of the metadata or a reader's ability to understand an article and that do not involve a scientific error or omission will be corrected at the discretion of the Publisher.</w:t>
      </w:r>
    </w:p>
    <w:p w14:paraId="7AEF5C48" w14:textId="77777777" w:rsidR="00E21DC1" w:rsidRPr="00E21DC1" w:rsidRDefault="00E21DC1" w:rsidP="00E21DC1">
      <w:pPr>
        <w:jc w:val="both"/>
        <w:rPr>
          <w:rFonts w:ascii="Times New Roman" w:hAnsi="Times New Roman"/>
          <w:sz w:val="20"/>
          <w:szCs w:val="20"/>
          <w:shd w:val="clear" w:color="auto" w:fill="FFFFFF"/>
        </w:rPr>
      </w:pPr>
    </w:p>
    <w:p w14:paraId="7A4D164C" w14:textId="29DDD822" w:rsidR="00F244C3" w:rsidRDefault="00F244C3" w:rsidP="00F244C3">
      <w:pPr>
        <w:jc w:val="both"/>
        <w:rPr>
          <w:rFonts w:ascii="Times New Roman" w:hAnsi="Times New Roman"/>
          <w:b/>
          <w:bCs/>
          <w:sz w:val="20"/>
          <w:szCs w:val="20"/>
          <w:shd w:val="clear" w:color="auto" w:fill="FFFFFF"/>
        </w:rPr>
      </w:pPr>
      <w:bookmarkStart w:id="2" w:name="_Hlk155085941"/>
      <w:r>
        <w:rPr>
          <w:rFonts w:ascii="Times New Roman" w:hAnsi="Times New Roman"/>
          <w:b/>
          <w:bCs/>
          <w:sz w:val="20"/>
          <w:szCs w:val="20"/>
          <w:shd w:val="clear" w:color="auto" w:fill="FFFFFF"/>
        </w:rPr>
        <w:t>REFERENCES</w:t>
      </w:r>
      <w:r w:rsidR="0064097F">
        <w:rPr>
          <w:rFonts w:ascii="Times New Roman" w:hAnsi="Times New Roman"/>
          <w:b/>
          <w:bCs/>
          <w:sz w:val="20"/>
          <w:szCs w:val="20"/>
          <w:shd w:val="clear" w:color="auto" w:fill="FFFFFF"/>
        </w:rPr>
        <w:t xml:space="preserve"> / REFERENSI</w:t>
      </w:r>
      <w:r w:rsidR="00F414DC">
        <w:rPr>
          <w:rFonts w:ascii="Times New Roman" w:hAnsi="Times New Roman"/>
          <w:b/>
          <w:bCs/>
          <w:sz w:val="20"/>
          <w:szCs w:val="20"/>
          <w:shd w:val="clear" w:color="auto" w:fill="FFFFFF"/>
        </w:rPr>
        <w:t xml:space="preserve"> </w:t>
      </w:r>
      <w:bookmarkEnd w:id="2"/>
      <w:r w:rsidR="00F414DC" w:rsidRPr="00F414DC">
        <w:rPr>
          <w:rFonts w:ascii="Times New Roman" w:hAnsi="Times New Roman"/>
          <w:i/>
          <w:iCs/>
          <w:sz w:val="20"/>
          <w:szCs w:val="20"/>
          <w:shd w:val="clear" w:color="auto" w:fill="FFFFFF"/>
        </w:rPr>
        <w:t>(use the latest APA style)</w:t>
      </w:r>
    </w:p>
    <w:p w14:paraId="3E5598C4" w14:textId="1A444861"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DE2EBA">
        <w:rPr>
          <w:rFonts w:ascii="Times New Roman" w:hAnsi="Times New Roman" w:cs="Times New Roman"/>
          <w:b/>
          <w:bCs/>
          <w:sz w:val="18"/>
          <w:szCs w:val="18"/>
          <w:lang w:eastAsia="ko-KR"/>
        </w:rPr>
        <w:fldChar w:fldCharType="begin" w:fldLock="1"/>
      </w:r>
      <w:r w:rsidRPr="00DE2EBA">
        <w:rPr>
          <w:rFonts w:ascii="Times New Roman" w:hAnsi="Times New Roman" w:cs="Times New Roman"/>
          <w:b/>
          <w:bCs/>
          <w:sz w:val="18"/>
          <w:szCs w:val="18"/>
        </w:rPr>
        <w:instrText xml:space="preserve">ADDIN Mendeley Bibliography CSL_BIBLIOGRAPHY </w:instrText>
      </w:r>
      <w:r w:rsidRPr="00DE2EBA">
        <w:rPr>
          <w:rFonts w:ascii="Times New Roman" w:hAnsi="Times New Roman" w:cs="Times New Roman"/>
          <w:b/>
          <w:bCs/>
          <w:sz w:val="18"/>
          <w:szCs w:val="18"/>
          <w:lang w:eastAsia="ko-KR"/>
        </w:rPr>
        <w:fldChar w:fldCharType="separate"/>
      </w:r>
      <w:r w:rsidRPr="0068751B">
        <w:rPr>
          <w:rFonts w:ascii="Times New Roman" w:hAnsi="Times New Roman" w:cs="Times New Roman"/>
          <w:noProof/>
          <w:kern w:val="0"/>
          <w:sz w:val="18"/>
          <w:szCs w:val="24"/>
        </w:rPr>
        <w:t xml:space="preserve">Akinwale, O. E., &amp; George, O. J. (2020). Work environment and job satisfaction among nurses in government tertiary hospitals in Nigeria. </w:t>
      </w:r>
      <w:r w:rsidRPr="0068751B">
        <w:rPr>
          <w:rFonts w:ascii="Times New Roman" w:hAnsi="Times New Roman" w:cs="Times New Roman"/>
          <w:i/>
          <w:iCs/>
          <w:noProof/>
          <w:kern w:val="0"/>
          <w:sz w:val="18"/>
          <w:szCs w:val="24"/>
        </w:rPr>
        <w:t>Rajagiri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14</w:t>
      </w:r>
      <w:r w:rsidRPr="0068751B">
        <w:rPr>
          <w:rFonts w:ascii="Times New Roman" w:hAnsi="Times New Roman" w:cs="Times New Roman"/>
          <w:noProof/>
          <w:kern w:val="0"/>
          <w:sz w:val="18"/>
          <w:szCs w:val="24"/>
        </w:rPr>
        <w:t>(1), 71–92. https://doi.org/10.1108/RAMJ-01-2020-0002</w:t>
      </w:r>
    </w:p>
    <w:p w14:paraId="483085B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Alrawashdeh, H. M., Al-Tammemi, A. B., Alzawahreh, M. K., Al-Tamimi, A., Elkholy, M., Al Sarireh, F., Abusamak, M., Elehamer, N. M. K., Malkawi, A., Al-Dolat, W., Abu-Ismail, L., Al-Far, A., &amp; Ghoul, I. (2021). Occupational burnout and job satisfaction among physicians in times of COVID-19 crisis: a convergent parallel mixed-method study. </w:t>
      </w:r>
      <w:r w:rsidRPr="0068751B">
        <w:rPr>
          <w:rFonts w:ascii="Times New Roman" w:hAnsi="Times New Roman" w:cs="Times New Roman"/>
          <w:i/>
          <w:iCs/>
          <w:noProof/>
          <w:kern w:val="0"/>
          <w:sz w:val="18"/>
          <w:szCs w:val="24"/>
        </w:rPr>
        <w:t>BMC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21</w:t>
      </w:r>
      <w:r w:rsidRPr="0068751B">
        <w:rPr>
          <w:rFonts w:ascii="Times New Roman" w:hAnsi="Times New Roman" w:cs="Times New Roman"/>
          <w:noProof/>
          <w:kern w:val="0"/>
          <w:sz w:val="18"/>
          <w:szCs w:val="24"/>
        </w:rPr>
        <w:t>(1), 811. https://doi.org/10.1186/s12889-021-10897-4</w:t>
      </w:r>
    </w:p>
    <w:p w14:paraId="1C4E46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Aman-Ullah, A., Ibrahim, H., Aziz, A., &amp; Mehmood, W. (2022). Impact of workplace safety on employee retention using sequential mediation: evidence from the health-care sector. </w:t>
      </w:r>
      <w:r w:rsidRPr="0068751B">
        <w:rPr>
          <w:rFonts w:ascii="Times New Roman" w:hAnsi="Times New Roman" w:cs="Times New Roman"/>
          <w:i/>
          <w:iCs/>
          <w:noProof/>
          <w:kern w:val="0"/>
          <w:sz w:val="18"/>
          <w:szCs w:val="24"/>
        </w:rPr>
        <w:t>RAUSP Management Journal</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57</w:t>
      </w:r>
      <w:r w:rsidRPr="0068751B">
        <w:rPr>
          <w:rFonts w:ascii="Times New Roman" w:hAnsi="Times New Roman" w:cs="Times New Roman"/>
          <w:noProof/>
          <w:kern w:val="0"/>
          <w:sz w:val="18"/>
          <w:szCs w:val="24"/>
        </w:rPr>
        <w:t>(2), 182–198. https://doi.org/10.1108/RAUSP-02-2021-0043</w:t>
      </w:r>
    </w:p>
    <w:p w14:paraId="438BAFD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Bartoll, X., &amp; Ramos, R. (2020). Working hour mismatch, job quality, and mental well-being across the EU28: a multilevel approach. </w:t>
      </w:r>
      <w:r w:rsidRPr="0068751B">
        <w:rPr>
          <w:rFonts w:ascii="Times New Roman" w:hAnsi="Times New Roman" w:cs="Times New Roman"/>
          <w:i/>
          <w:iCs/>
          <w:noProof/>
          <w:kern w:val="0"/>
          <w:sz w:val="18"/>
          <w:szCs w:val="24"/>
        </w:rPr>
        <w:t>International Archives of Occupational and Environmental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93</w:t>
      </w:r>
      <w:r w:rsidRPr="0068751B">
        <w:rPr>
          <w:rFonts w:ascii="Times New Roman" w:hAnsi="Times New Roman" w:cs="Times New Roman"/>
          <w:noProof/>
          <w:kern w:val="0"/>
          <w:sz w:val="18"/>
          <w:szCs w:val="24"/>
        </w:rPr>
        <w:t>(6), 733–745. https://doi.org/10.1007/s00420-020-01529-2</w:t>
      </w:r>
    </w:p>
    <w:p w14:paraId="64FBBFD6"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(2020). Gender, Flexibility Stigma and the Perceived Negative Consequences of Flexible Working in the UK.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521–545. https://doi.org/10.1007/s11205-018-2036-7</w:t>
      </w:r>
    </w:p>
    <w:p w14:paraId="28FB4EB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Horst, M. (2020). Flexible Working and Unpaid Overtime in the UK: The Role of Gender, Parental and Occupational Status.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495–520. https://doi.org/10.1007/s11205-018-2028-7</w:t>
      </w:r>
    </w:p>
    <w:p w14:paraId="4C083B8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Chung, H., &amp; van der Lippe, T. (2020). Flexible Working, Work–Life Balance, and Gender Equality: Introduction.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365–381. https://doi.org/10.1007/s11205-018-2025-x</w:t>
      </w:r>
    </w:p>
    <w:p w14:paraId="4E9DBE6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Giménez-Espert, M. D. C., Prado-Gascó, V., &amp; Soto-Rubio, A. (2020). Psychosocial Risks, Work Engagement, and Job Satisfaction of Nurses During COVID-19 Pandemic. </w:t>
      </w:r>
      <w:r w:rsidRPr="0068751B">
        <w:rPr>
          <w:rFonts w:ascii="Times New Roman" w:hAnsi="Times New Roman" w:cs="Times New Roman"/>
          <w:i/>
          <w:iCs/>
          <w:noProof/>
          <w:kern w:val="0"/>
          <w:sz w:val="18"/>
          <w:szCs w:val="24"/>
        </w:rPr>
        <w:t>Frontiers in Public Health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8</w:t>
      </w:r>
      <w:r w:rsidRPr="0068751B">
        <w:rPr>
          <w:rFonts w:ascii="Times New Roman" w:hAnsi="Times New Roman" w:cs="Times New Roman"/>
          <w:noProof/>
          <w:kern w:val="0"/>
          <w:sz w:val="18"/>
          <w:szCs w:val="24"/>
        </w:rPr>
        <w:t>(566896), 1–10. https://doi.org/10.3389/fpubh.2020.566896</w:t>
      </w:r>
    </w:p>
    <w:p w14:paraId="05A3F8DC"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Irawanto, D. W., Novianti, K. R., &amp; Roz, K. (2021). Work from Home: Measuring Satisfaction between Work–Life Balance and Work Stress during the COVID-19 Pandemic in Indonesia. </w:t>
      </w:r>
      <w:r w:rsidRPr="0068751B">
        <w:rPr>
          <w:rFonts w:ascii="Times New Roman" w:hAnsi="Times New Roman" w:cs="Times New Roman"/>
          <w:i/>
          <w:iCs/>
          <w:noProof/>
          <w:kern w:val="0"/>
          <w:sz w:val="18"/>
          <w:szCs w:val="24"/>
        </w:rPr>
        <w:t>Economies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9</w:t>
      </w:r>
      <w:r w:rsidRPr="0068751B">
        <w:rPr>
          <w:rFonts w:ascii="Times New Roman" w:hAnsi="Times New Roman" w:cs="Times New Roman"/>
          <w:noProof/>
          <w:kern w:val="0"/>
          <w:sz w:val="18"/>
          <w:szCs w:val="24"/>
        </w:rPr>
        <w:t>(3:96), 1–13. https://doi.org/10.3390/economies9030096</w:t>
      </w:r>
    </w:p>
    <w:p w14:paraId="3DB7675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J. (2020). Workplace Flexibility and Parent–Child Interactions Among Working Parents in the U.S.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427–469. https://doi.org/10.1007/s11205-018-2032-y</w:t>
      </w:r>
    </w:p>
    <w:p w14:paraId="40040145"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Kim, S. J., &amp; Chung, E. K. (2019). The effect of organizational justice as perceived by occupational drivers on traffic accidents: Mediating effects of job satisfaction. </w:t>
      </w:r>
      <w:r w:rsidRPr="0068751B">
        <w:rPr>
          <w:rFonts w:ascii="Times New Roman" w:hAnsi="Times New Roman" w:cs="Times New Roman"/>
          <w:i/>
          <w:iCs/>
          <w:noProof/>
          <w:kern w:val="0"/>
          <w:sz w:val="18"/>
          <w:szCs w:val="24"/>
        </w:rPr>
        <w:t>Journal of Safety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68</w:t>
      </w:r>
      <w:r w:rsidRPr="0068751B">
        <w:rPr>
          <w:rFonts w:ascii="Times New Roman" w:hAnsi="Times New Roman" w:cs="Times New Roman"/>
          <w:noProof/>
          <w:kern w:val="0"/>
          <w:sz w:val="18"/>
          <w:szCs w:val="24"/>
        </w:rPr>
        <w:t>, 27–32. https://doi.org/https://doi.org/10.1016/j.jsr.2018.11.001</w:t>
      </w:r>
    </w:p>
    <w:p w14:paraId="2E77230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Lott, Y. (2020). Does Flexibility Help Employees Switch Off from Work? Flexible Working-Time Arrangements and Cognitive Work-to-Home Spillover for Women and Men in Germany.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471–494. https://doi.org/10.1007/s11205-018-2031-z</w:t>
      </w:r>
    </w:p>
    <w:p w14:paraId="1FE41DA1"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Obrenovic, B., Jianguo, D., Khudaykulov, A., &amp; Khan, M. A. S. (2020). Work-Family Conflict Impact on Psychological Safety and Psychological Well-Being: A Job Performance Model. </w:t>
      </w:r>
      <w:r w:rsidRPr="0068751B">
        <w:rPr>
          <w:rFonts w:ascii="Times New Roman" w:hAnsi="Times New Roman" w:cs="Times New Roman"/>
          <w:i/>
          <w:iCs/>
          <w:noProof/>
          <w:kern w:val="0"/>
          <w:sz w:val="18"/>
          <w:szCs w:val="24"/>
        </w:rPr>
        <w:t>Frontiers in Psychology</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11</w:t>
      </w:r>
      <w:r w:rsidRPr="0068751B">
        <w:rPr>
          <w:rFonts w:ascii="Times New Roman" w:hAnsi="Times New Roman" w:cs="Times New Roman"/>
          <w:noProof/>
          <w:kern w:val="0"/>
          <w:sz w:val="18"/>
          <w:szCs w:val="24"/>
        </w:rPr>
        <w:t>(475), 1–18. https://doi.org/10.3389/fpsyg.2020.00475</w:t>
      </w:r>
    </w:p>
    <w:p w14:paraId="0D517AF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Paais, M., &amp; Pattiruhu, J. R. (2020). Effect of Motivation, Leadership, and Organizational Culture on Satisfaction and Employee Performance.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(8), 577–588. https://doi.org/10.13106/JAFEB.2020.VOL7.NO8.577</w:t>
      </w:r>
    </w:p>
    <w:p w14:paraId="09E60DAD"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lastRenderedPageBreak/>
        <w:t xml:space="preserve">Pancasila, I., Haryono, S., &amp; Sulistyo, B. A. (2020). Effects of Work Motivation and Leadership toward Work Satisfaction and Employee Performance: Evidence from Indonesia.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(6), 387–397. https://doi.org/10.13106/jafeb.2020.vol7.no6.387</w:t>
      </w:r>
    </w:p>
    <w:p w14:paraId="789EF43F"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Roberts, J. A., &amp; David, M. E. (2020). Boss phubbing, trust, job satisfaction and employee performance. </w:t>
      </w:r>
      <w:r w:rsidRPr="0068751B">
        <w:rPr>
          <w:rFonts w:ascii="Times New Roman" w:hAnsi="Times New Roman" w:cs="Times New Roman"/>
          <w:i/>
          <w:iCs/>
          <w:noProof/>
          <w:kern w:val="0"/>
          <w:sz w:val="18"/>
          <w:szCs w:val="24"/>
        </w:rPr>
        <w:t>Personality and Individual Differences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155</w:t>
      </w:r>
      <w:r w:rsidRPr="0068751B">
        <w:rPr>
          <w:rFonts w:ascii="Times New Roman" w:hAnsi="Times New Roman" w:cs="Times New Roman"/>
          <w:noProof/>
          <w:kern w:val="0"/>
          <w:sz w:val="18"/>
          <w:szCs w:val="24"/>
        </w:rPr>
        <w:t>, 109702. https://doi.org/https://doi.org/10.1016/j.paid.2019.109702</w:t>
      </w:r>
    </w:p>
    <w:p w14:paraId="050D0A27"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Rodríguez Rodríguez, E. (2022). La “soberanía sobre el tiempo”. Unilateralidad e imposición en la distribución del tiempo de trabajo frente a conciliación corresponsable. </w:t>
      </w:r>
      <w:r w:rsidRPr="0068751B">
        <w:rPr>
          <w:rFonts w:ascii="Times New Roman" w:hAnsi="Times New Roman" w:cs="Times New Roman"/>
          <w:i/>
          <w:iCs/>
          <w:noProof/>
          <w:kern w:val="0"/>
          <w:sz w:val="18"/>
          <w:szCs w:val="24"/>
        </w:rPr>
        <w:t>Cuadernos de Relaciones Laborales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40</w:t>
      </w:r>
      <w:r w:rsidRPr="0068751B">
        <w:rPr>
          <w:rFonts w:ascii="Times New Roman" w:hAnsi="Times New Roman" w:cs="Times New Roman"/>
          <w:noProof/>
          <w:kern w:val="0"/>
          <w:sz w:val="18"/>
          <w:szCs w:val="24"/>
        </w:rPr>
        <w:t>(1), 37–55. https://doi.org/10.5209/crla.77642</w:t>
      </w:r>
    </w:p>
    <w:p w14:paraId="604B37F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Saffar, N. A. G. A.-. (2020). The effect of total quality management practices on employee performance: The moderating role of knowledge sharing. </w:t>
      </w:r>
      <w:r w:rsidRPr="0068751B">
        <w:rPr>
          <w:rFonts w:ascii="Times New Roman" w:hAnsi="Times New Roman" w:cs="Times New Roman"/>
          <w:i/>
          <w:iCs/>
          <w:noProof/>
          <w:kern w:val="0"/>
          <w:sz w:val="18"/>
          <w:szCs w:val="24"/>
        </w:rPr>
        <w:t>Management Science Letters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10</w:t>
      </w:r>
      <w:r w:rsidRPr="0068751B">
        <w:rPr>
          <w:rFonts w:ascii="Times New Roman" w:hAnsi="Times New Roman" w:cs="Times New Roman"/>
          <w:noProof/>
          <w:kern w:val="0"/>
          <w:sz w:val="18"/>
          <w:szCs w:val="24"/>
        </w:rPr>
        <w:t>(1), 77–90. https://doi.org/10.5267/j.msl.2019.8.014</w:t>
      </w:r>
    </w:p>
    <w:p w14:paraId="40AF92C4"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Said, R. M., &amp; El-Shafei, D. A. (2021). Occupational stress, job satisfaction, and intent to leave: nurses working on front lines during COVID-19 pandemic in Zagazig City, Egypt. </w:t>
      </w:r>
      <w:r w:rsidRPr="0068751B">
        <w:rPr>
          <w:rFonts w:ascii="Times New Roman" w:hAnsi="Times New Roman" w:cs="Times New Roman"/>
          <w:i/>
          <w:iCs/>
          <w:noProof/>
          <w:kern w:val="0"/>
          <w:sz w:val="18"/>
          <w:szCs w:val="24"/>
        </w:rPr>
        <w:t>Environmental Science and Pollution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28</w:t>
      </w:r>
      <w:r w:rsidRPr="0068751B">
        <w:rPr>
          <w:rFonts w:ascii="Times New Roman" w:hAnsi="Times New Roman" w:cs="Times New Roman"/>
          <w:noProof/>
          <w:kern w:val="0"/>
          <w:sz w:val="18"/>
          <w:szCs w:val="24"/>
        </w:rPr>
        <w:t>(7), 8791–8801. https://doi.org/10.1007/s11356-020-11235-8</w:t>
      </w:r>
    </w:p>
    <w:p w14:paraId="6746914B"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Thorsen, S. V., Flyvholm, M.-A., Pedersen, J., Bültmann, U., Andersen, L. L., &amp; Bjorner, J. B. (2021). Associations between physical and psychosocial work environment factors and sickness absence incidence depend on the lengths of the sickness absence episodes: a prospective study of 27 678 Danish employees. </w:t>
      </w:r>
      <w:r w:rsidRPr="0068751B">
        <w:rPr>
          <w:rFonts w:ascii="Times New Roman" w:hAnsi="Times New Roman" w:cs="Times New Roman"/>
          <w:i/>
          <w:iCs/>
          <w:noProof/>
          <w:kern w:val="0"/>
          <w:sz w:val="18"/>
          <w:szCs w:val="24"/>
        </w:rPr>
        <w:t>Occupational and Environmental Medicine</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78</w:t>
      </w:r>
      <w:r w:rsidRPr="0068751B">
        <w:rPr>
          <w:rFonts w:ascii="Times New Roman" w:hAnsi="Times New Roman" w:cs="Times New Roman"/>
          <w:noProof/>
          <w:kern w:val="0"/>
          <w:sz w:val="18"/>
          <w:szCs w:val="24"/>
        </w:rPr>
        <w:t>(1), 46–53. https://doi.org/10.1136/oemed-2020-106554</w:t>
      </w:r>
    </w:p>
    <w:p w14:paraId="1940CFDA"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van der Lippe, T., &amp; Lippényi, Z. (2020). Beyond Formal Access: Organizational Context, Working From Home, and Work–Family Conflict of Men and Women in European Workplaces. </w:t>
      </w:r>
      <w:r w:rsidRPr="0068751B">
        <w:rPr>
          <w:rFonts w:ascii="Times New Roman" w:hAnsi="Times New Roman" w:cs="Times New Roman"/>
          <w:i/>
          <w:iCs/>
          <w:noProof/>
          <w:kern w:val="0"/>
          <w:sz w:val="18"/>
          <w:szCs w:val="24"/>
        </w:rPr>
        <w:t>Social Indicators Research</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151</w:t>
      </w:r>
      <w:r w:rsidRPr="0068751B">
        <w:rPr>
          <w:rFonts w:ascii="Times New Roman" w:hAnsi="Times New Roman" w:cs="Times New Roman"/>
          <w:noProof/>
          <w:kern w:val="0"/>
          <w:sz w:val="18"/>
          <w:szCs w:val="24"/>
        </w:rPr>
        <w:t>(2), 383–402. https://doi.org/10.1007/s11205-018-1993-1</w:t>
      </w:r>
    </w:p>
    <w:p w14:paraId="19916FDE"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Christian, M., Sunarno, S., &amp; Yuniarto, Y. (2022). Determinants of Stress Recognition and Job Satisfaction in Hospitals For Health Professionals in Indonesia. </w:t>
      </w:r>
      <w:r w:rsidRPr="0068751B">
        <w:rPr>
          <w:rFonts w:ascii="Times New Roman" w:hAnsi="Times New Roman" w:cs="Times New Roman"/>
          <w:i/>
          <w:iCs/>
          <w:noProof/>
          <w:kern w:val="0"/>
          <w:sz w:val="18"/>
          <w:szCs w:val="24"/>
        </w:rPr>
        <w:t>Journal of Industrial Engineering and Management Systems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15</w:t>
      </w:r>
      <w:r w:rsidRPr="0068751B">
        <w:rPr>
          <w:rFonts w:ascii="Times New Roman" w:hAnsi="Times New Roman" w:cs="Times New Roman"/>
          <w:noProof/>
          <w:kern w:val="0"/>
          <w:sz w:val="18"/>
          <w:szCs w:val="24"/>
        </w:rPr>
        <w:t>(1), 26–34. https://doi.org/10.30813/jiems.v15i1.3601</w:t>
      </w:r>
    </w:p>
    <w:p w14:paraId="11FCADB0"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Wibowo, S., Sunarno, S., Gasjirin, J., Christian, M., &amp; Indriyarti, E. R. (2023). Psychological and Organizational Factors Impacting Job Satisfaction during the COVID-19 Pandemic: A Study on Similar Exposure Groups in Indonesia. </w:t>
      </w:r>
      <w:r w:rsidRPr="0068751B">
        <w:rPr>
          <w:rFonts w:ascii="Times New Roman" w:hAnsi="Times New Roman" w:cs="Times New Roman"/>
          <w:i/>
          <w:iCs/>
          <w:noProof/>
          <w:kern w:val="0"/>
          <w:sz w:val="18"/>
          <w:szCs w:val="24"/>
        </w:rPr>
        <w:t>Acta Medica Philippina</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Online</w:t>
      </w:r>
      <w:r w:rsidRPr="0068751B">
        <w:rPr>
          <w:rFonts w:ascii="Times New Roman" w:hAnsi="Times New Roman" w:cs="Times New Roman"/>
          <w:noProof/>
          <w:kern w:val="0"/>
          <w:sz w:val="18"/>
          <w:szCs w:val="24"/>
        </w:rPr>
        <w:t>(March), 1–11. https://doi.org/10.47895/amp.vi0.3688</w:t>
      </w:r>
    </w:p>
    <w:p w14:paraId="0262FA03" w14:textId="77777777" w:rsidR="00F414DC" w:rsidRPr="0068751B" w:rsidRDefault="00F414DC" w:rsidP="00F67ECF">
      <w:pPr>
        <w:adjustRightInd w:val="0"/>
        <w:ind w:left="480" w:hanging="480"/>
        <w:jc w:val="both"/>
        <w:rPr>
          <w:rFonts w:ascii="Times New Roman" w:hAnsi="Times New Roman" w:cs="Times New Roman"/>
          <w:noProof/>
          <w:kern w:val="0"/>
          <w:sz w:val="18"/>
          <w:szCs w:val="24"/>
        </w:rPr>
      </w:pPr>
      <w:r w:rsidRPr="0068751B">
        <w:rPr>
          <w:rFonts w:ascii="Times New Roman" w:hAnsi="Times New Roman" w:cs="Times New Roman"/>
          <w:noProof/>
          <w:kern w:val="0"/>
          <w:sz w:val="18"/>
          <w:szCs w:val="24"/>
        </w:rPr>
        <w:t xml:space="preserve">Wolor, C. W., Solikhah, S., Fidhyallah, N. F., &amp; Lestari, D. P. (2020). Effectiveness of E-Training, E-Leadership, and Work Life Balance on Employee Performance during COVID-19. </w:t>
      </w:r>
      <w:r w:rsidRPr="0068751B">
        <w:rPr>
          <w:rFonts w:ascii="Times New Roman" w:hAnsi="Times New Roman" w:cs="Times New Roman"/>
          <w:i/>
          <w:iCs/>
          <w:noProof/>
          <w:kern w:val="0"/>
          <w:sz w:val="18"/>
          <w:szCs w:val="24"/>
        </w:rPr>
        <w:t>Journal of Asian Finance, Economics and Business</w:t>
      </w:r>
      <w:r w:rsidRPr="0068751B">
        <w:rPr>
          <w:rFonts w:ascii="Times New Roman" w:hAnsi="Times New Roman" w:cs="Times New Roman"/>
          <w:noProof/>
          <w:kern w:val="0"/>
          <w:sz w:val="18"/>
          <w:szCs w:val="24"/>
        </w:rPr>
        <w:t xml:space="preserve">, </w:t>
      </w:r>
      <w:r w:rsidRPr="0068751B">
        <w:rPr>
          <w:rFonts w:ascii="Times New Roman" w:hAnsi="Times New Roman" w:cs="Times New Roman"/>
          <w:i/>
          <w:iCs/>
          <w:noProof/>
          <w:kern w:val="0"/>
          <w:sz w:val="18"/>
          <w:szCs w:val="24"/>
        </w:rPr>
        <w:t>7</w:t>
      </w:r>
      <w:r w:rsidRPr="0068751B">
        <w:rPr>
          <w:rFonts w:ascii="Times New Roman" w:hAnsi="Times New Roman" w:cs="Times New Roman"/>
          <w:noProof/>
          <w:kern w:val="0"/>
          <w:sz w:val="18"/>
          <w:szCs w:val="24"/>
        </w:rPr>
        <w:t>(10), 443–450. https://doi.org/10.13106/jafeb.2020.vol7.no10.443</w:t>
      </w:r>
    </w:p>
    <w:p w14:paraId="138FACDA" w14:textId="0A856A86" w:rsidR="00F414DC" w:rsidRPr="00F244C3" w:rsidRDefault="00F414DC" w:rsidP="00F67ECF">
      <w:pPr>
        <w:adjustRightInd w:val="0"/>
        <w:ind w:left="480" w:hanging="480"/>
        <w:jc w:val="both"/>
        <w:rPr>
          <w:rFonts w:ascii="Times New Roman" w:hAnsi="Times New Roman"/>
          <w:b/>
          <w:bCs/>
          <w:sz w:val="20"/>
          <w:szCs w:val="20"/>
          <w:shd w:val="clear" w:color="auto" w:fill="FFFFFF"/>
        </w:rPr>
      </w:pPr>
      <w:r w:rsidRPr="0068751B">
        <w:rPr>
          <w:rFonts w:ascii="Times New Roman" w:hAnsi="Times New Roman" w:cs="Times New Roman"/>
          <w:noProof/>
          <w:kern w:val="0"/>
          <w:sz w:val="18"/>
          <w:szCs w:val="24"/>
        </w:rPr>
        <w:t xml:space="preserve">Zoghbi-Manrique-de-Lara, P., &amp; Sharifiatashgah, M. (2020). An affective events model of the influence of the physical work environment on interpersonal citizenship behavior. In </w:t>
      </w:r>
      <w:r w:rsidRPr="0068751B">
        <w:rPr>
          <w:rFonts w:ascii="Times New Roman" w:hAnsi="Times New Roman" w:cs="Times New Roman"/>
          <w:i/>
          <w:iCs/>
          <w:noProof/>
          <w:kern w:val="0"/>
          <w:sz w:val="18"/>
          <w:szCs w:val="24"/>
        </w:rPr>
        <w:t>Journal of Work and Organizational Psychology</w:t>
      </w:r>
      <w:r w:rsidRPr="0068751B">
        <w:rPr>
          <w:rFonts w:ascii="Times New Roman" w:hAnsi="Times New Roman" w:cs="Times New Roman"/>
          <w:noProof/>
          <w:kern w:val="0"/>
          <w:sz w:val="18"/>
          <w:szCs w:val="24"/>
        </w:rPr>
        <w:t xml:space="preserve"> (Vol. 36, Issue 1, pp. 27–37). Colegio Oficial de Psicólogos de Madrid. https://doi.org/10.5093/jwop2019a27</w:t>
      </w:r>
      <w:r w:rsidRPr="00DE2EBA">
        <w:rPr>
          <w:b/>
          <w:bCs/>
          <w:sz w:val="18"/>
          <w:szCs w:val="18"/>
        </w:rPr>
        <w:fldChar w:fldCharType="end"/>
      </w:r>
    </w:p>
    <w:sectPr w:rsidR="00F414DC" w:rsidRPr="00F244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D77EB" w14:textId="77777777" w:rsidR="00CA1CF5" w:rsidRDefault="00CA1CF5" w:rsidP="007D70A5">
      <w:pPr>
        <w:spacing w:after="0" w:line="240" w:lineRule="auto"/>
      </w:pPr>
      <w:r>
        <w:separator/>
      </w:r>
    </w:p>
  </w:endnote>
  <w:endnote w:type="continuationSeparator" w:id="0">
    <w:p w14:paraId="751ED628" w14:textId="77777777" w:rsidR="00CA1CF5" w:rsidRDefault="00CA1CF5" w:rsidP="007D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909C" w14:textId="77777777" w:rsidR="00CA1CF5" w:rsidRDefault="00CA1CF5" w:rsidP="007D70A5">
      <w:pPr>
        <w:spacing w:after="0" w:line="240" w:lineRule="auto"/>
      </w:pPr>
      <w:r>
        <w:separator/>
      </w:r>
    </w:p>
  </w:footnote>
  <w:footnote w:type="continuationSeparator" w:id="0">
    <w:p w14:paraId="63C989D3" w14:textId="77777777" w:rsidR="00CA1CF5" w:rsidRDefault="00CA1CF5" w:rsidP="007D7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0BFF" w14:textId="06086132" w:rsidR="00AD6E80" w:rsidRDefault="00AD6E80" w:rsidP="00AD6E80">
    <w:pPr>
      <w:pStyle w:val="Header"/>
      <w:jc w:val="right"/>
      <w:rPr>
        <w:rFonts w:ascii="Times New Roman" w:hAnsi="Times New Roman" w:cs="Times New Roman"/>
        <w:sz w:val="16"/>
        <w:szCs w:val="16"/>
      </w:rPr>
    </w:pPr>
    <w:r w:rsidRPr="00AD6E80">
      <w:rPr>
        <w:rFonts w:ascii="Times New Roman" w:hAnsi="Times New Roman" w:cs="Times New Roman"/>
        <w:sz w:val="16"/>
        <w:szCs w:val="16"/>
      </w:rPr>
      <w:fldChar w:fldCharType="begin"/>
    </w:r>
    <w:r w:rsidRPr="00AD6E80">
      <w:rPr>
        <w:rFonts w:ascii="Times New Roman" w:hAnsi="Times New Roman" w:cs="Times New Roman"/>
        <w:sz w:val="16"/>
        <w:szCs w:val="16"/>
      </w:rPr>
      <w:instrText xml:space="preserve"> PAGE   \* MERGEFORMAT </w:instrText>
    </w:r>
    <w:r w:rsidRPr="00AD6E80">
      <w:rPr>
        <w:rFonts w:ascii="Times New Roman" w:hAnsi="Times New Roman" w:cs="Times New Roman"/>
        <w:sz w:val="16"/>
        <w:szCs w:val="16"/>
      </w:rPr>
      <w:fldChar w:fldCharType="separate"/>
    </w:r>
    <w:r w:rsidRPr="00AD6E80">
      <w:rPr>
        <w:rFonts w:ascii="Times New Roman" w:hAnsi="Times New Roman" w:cs="Times New Roman"/>
        <w:noProof/>
        <w:sz w:val="16"/>
        <w:szCs w:val="16"/>
      </w:rPr>
      <w:t>1</w:t>
    </w:r>
    <w:r w:rsidRPr="00AD6E80">
      <w:rPr>
        <w:rFonts w:ascii="Times New Roman" w:hAnsi="Times New Roman" w:cs="Times New Roman"/>
        <w:noProof/>
        <w:sz w:val="16"/>
        <w:szCs w:val="16"/>
      </w:rPr>
      <w:fldChar w:fldCharType="end"/>
    </w:r>
  </w:p>
  <w:p w14:paraId="706123A6" w14:textId="1059E4F5" w:rsidR="00DC5053" w:rsidRDefault="00DC5053">
    <w:pPr>
      <w:pStyle w:val="Header"/>
      <w:rPr>
        <w:rFonts w:ascii="Times New Roman" w:hAnsi="Times New Roman" w:cs="Times New Roman"/>
        <w:sz w:val="16"/>
        <w:szCs w:val="16"/>
      </w:rPr>
    </w:pPr>
    <w:r w:rsidRPr="00DC5053">
      <w:rPr>
        <w:rFonts w:ascii="Times New Roman" w:hAnsi="Times New Roman" w:cs="Times New Roman"/>
        <w:sz w:val="16"/>
        <w:szCs w:val="16"/>
      </w:rPr>
      <w:t>Comprehensive Occupational Health and Safety Reviews</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137788">
      <w:rPr>
        <w:rFonts w:ascii="Times New Roman" w:hAnsi="Times New Roman" w:cs="Times New Roman"/>
        <w:i/>
        <w:noProof/>
        <w:color w:val="231F20"/>
        <w:spacing w:val="-2"/>
        <w:sz w:val="16"/>
      </w:rPr>
      <w:t>First</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Given Surname</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First</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Given Surname</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First</w:t>
    </w:r>
    <w:r>
      <w:rPr>
        <w:rFonts w:ascii="Times New Roman" w:hAnsi="Times New Roman" w:cs="Times New Roman"/>
        <w:i/>
        <w:noProof/>
        <w:color w:val="231F20"/>
        <w:spacing w:val="-2"/>
        <w:sz w:val="16"/>
      </w:rPr>
      <w:t xml:space="preserve"> </w:t>
    </w:r>
    <w:r w:rsidRPr="00137788">
      <w:rPr>
        <w:rFonts w:ascii="Times New Roman" w:hAnsi="Times New Roman" w:cs="Times New Roman"/>
        <w:i/>
        <w:noProof/>
        <w:color w:val="231F20"/>
        <w:spacing w:val="-2"/>
        <w:sz w:val="16"/>
      </w:rPr>
      <w:t>Given Surname</w:t>
    </w:r>
    <w:r>
      <w:ptab w:relativeTo="margin" w:alignment="right" w:leader="none"/>
    </w:r>
  </w:p>
  <w:p w14:paraId="1BEF3B66" w14:textId="216649FB" w:rsidR="001D76E2" w:rsidRDefault="001D76E2">
    <w:pPr>
      <w:pStyle w:val="Header"/>
    </w:pPr>
    <w:r>
      <w:rPr>
        <w:rFonts w:ascii="Times New Roman" w:hAnsi="Times New Roman" w:cs="Times New Roman"/>
        <w:sz w:val="16"/>
        <w:szCs w:val="16"/>
      </w:rPr>
      <w:t xml:space="preserve">Vol. </w:t>
    </w:r>
    <w:r w:rsidR="00115ADE">
      <w:rPr>
        <w:rFonts w:ascii="Times New Roman" w:hAnsi="Times New Roman" w:cs="Times New Roman"/>
        <w:sz w:val="16"/>
        <w:szCs w:val="16"/>
      </w:rPr>
      <w:t>XX</w:t>
    </w:r>
    <w:r>
      <w:rPr>
        <w:rFonts w:ascii="Times New Roman" w:hAnsi="Times New Roman" w:cs="Times New Roman"/>
        <w:sz w:val="16"/>
        <w:szCs w:val="16"/>
      </w:rPr>
      <w:t xml:space="preserve">, No. </w:t>
    </w:r>
    <w:r w:rsidR="00115ADE">
      <w:rPr>
        <w:rFonts w:ascii="Times New Roman" w:hAnsi="Times New Roman" w:cs="Times New Roman"/>
        <w:sz w:val="16"/>
        <w:szCs w:val="16"/>
      </w:rPr>
      <w:t>XX</w:t>
    </w:r>
    <w:r w:rsidR="00595B86">
      <w:rPr>
        <w:rFonts w:ascii="Times New Roman" w:hAnsi="Times New Roman" w:cs="Times New Roman"/>
        <w:sz w:val="16"/>
        <w:szCs w:val="16"/>
      </w:rPr>
      <w:t>, Year</w:t>
    </w:r>
    <w:r w:rsidR="00DC5053">
      <w:rPr>
        <w:rFonts w:ascii="Times New Roman" w:hAnsi="Times New Roman" w:cs="Times New Roman"/>
        <w:sz w:val="16"/>
        <w:szCs w:val="16"/>
      </w:rPr>
      <w:t xml:space="preserve"> </w:t>
    </w:r>
    <w:r w:rsidR="00DC5053">
      <w:rPr>
        <w:rFonts w:ascii="Times New Roman" w:hAnsi="Times New Roman" w:cs="Times New Roman"/>
        <w:sz w:val="16"/>
        <w:szCs w:val="16"/>
      </w:rPr>
      <w:t>|</w:t>
    </w:r>
    <w:r w:rsidR="00DC5053">
      <w:rPr>
        <w:rFonts w:ascii="Times New Roman" w:hAnsi="Times New Roman" w:cs="Times New Roman"/>
        <w:sz w:val="16"/>
        <w:szCs w:val="16"/>
      </w:rPr>
      <w:t xml:space="preserve"> </w:t>
    </w:r>
    <w:r w:rsidR="00DC5053">
      <w:rPr>
        <w:rFonts w:ascii="Times New Roman" w:hAnsi="Times New Roman" w:cs="Times New Roman"/>
        <w:sz w:val="16"/>
        <w:szCs w:val="16"/>
      </w:rPr>
      <w:t>Page xx-xx</w:t>
    </w:r>
    <w:r w:rsidR="00AD6E8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0F"/>
    <w:rsid w:val="000213B2"/>
    <w:rsid w:val="00030E30"/>
    <w:rsid w:val="000D2BB6"/>
    <w:rsid w:val="00102370"/>
    <w:rsid w:val="00115ADE"/>
    <w:rsid w:val="00126F8C"/>
    <w:rsid w:val="00143B24"/>
    <w:rsid w:val="001751CA"/>
    <w:rsid w:val="001C1100"/>
    <w:rsid w:val="001C20FF"/>
    <w:rsid w:val="001D76E2"/>
    <w:rsid w:val="003C16C2"/>
    <w:rsid w:val="003E4D6A"/>
    <w:rsid w:val="00413465"/>
    <w:rsid w:val="00491994"/>
    <w:rsid w:val="00555103"/>
    <w:rsid w:val="005724D2"/>
    <w:rsid w:val="00572A70"/>
    <w:rsid w:val="00592C76"/>
    <w:rsid w:val="00595B86"/>
    <w:rsid w:val="0064097F"/>
    <w:rsid w:val="00646485"/>
    <w:rsid w:val="006A18B1"/>
    <w:rsid w:val="00707F0D"/>
    <w:rsid w:val="00744545"/>
    <w:rsid w:val="007D70A5"/>
    <w:rsid w:val="00886ABA"/>
    <w:rsid w:val="008A4162"/>
    <w:rsid w:val="00AD6E80"/>
    <w:rsid w:val="00AE3160"/>
    <w:rsid w:val="00AE4BF0"/>
    <w:rsid w:val="00AF1817"/>
    <w:rsid w:val="00B14176"/>
    <w:rsid w:val="00BF0439"/>
    <w:rsid w:val="00CA1CF5"/>
    <w:rsid w:val="00D063FC"/>
    <w:rsid w:val="00D35F1C"/>
    <w:rsid w:val="00D9452B"/>
    <w:rsid w:val="00DC5053"/>
    <w:rsid w:val="00DC756C"/>
    <w:rsid w:val="00DD064F"/>
    <w:rsid w:val="00DD7A82"/>
    <w:rsid w:val="00E108F4"/>
    <w:rsid w:val="00E21DC1"/>
    <w:rsid w:val="00E61B0C"/>
    <w:rsid w:val="00EB61FB"/>
    <w:rsid w:val="00EB78D8"/>
    <w:rsid w:val="00EF061A"/>
    <w:rsid w:val="00F244C3"/>
    <w:rsid w:val="00F26F95"/>
    <w:rsid w:val="00F32080"/>
    <w:rsid w:val="00F3366A"/>
    <w:rsid w:val="00F414DC"/>
    <w:rsid w:val="00F43BD7"/>
    <w:rsid w:val="00F53F0F"/>
    <w:rsid w:val="00F67ECF"/>
    <w:rsid w:val="00F70691"/>
    <w:rsid w:val="00FE00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2E05"/>
  <w15:chartTrackingRefBased/>
  <w15:docId w15:val="{B8151C4C-2E50-484F-8A7B-FF929DB3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0A5"/>
  </w:style>
  <w:style w:type="paragraph" w:styleId="Footer">
    <w:name w:val="footer"/>
    <w:basedOn w:val="Normal"/>
    <w:link w:val="FooterChar"/>
    <w:uiPriority w:val="99"/>
    <w:unhideWhenUsed/>
    <w:rsid w:val="007D7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0A5"/>
  </w:style>
  <w:style w:type="paragraph" w:customStyle="1" w:styleId="a">
    <w:name w:val="차례제"/>
    <w:basedOn w:val="Normal"/>
    <w:rsid w:val="007D70A5"/>
    <w:pPr>
      <w:snapToGrid w:val="0"/>
      <w:spacing w:before="280" w:after="0" w:line="480" w:lineRule="auto"/>
      <w:ind w:right="400"/>
      <w:jc w:val="both"/>
    </w:pPr>
    <w:rPr>
      <w:rFonts w:ascii="Malgun Gothic" w:eastAsia="Malgun Gothic" w:hAnsi="Malgun Gothic" w:cs="Gulim"/>
      <w:color w:val="000000"/>
      <w:kern w:val="0"/>
      <w:lang w:val="en-US" w:eastAsia="ko-KR"/>
      <w14:ligatures w14:val="none"/>
    </w:rPr>
  </w:style>
  <w:style w:type="table" w:styleId="TableGrid">
    <w:name w:val="Table Grid"/>
    <w:basedOn w:val="TableNormal"/>
    <w:uiPriority w:val="39"/>
    <w:rsid w:val="007D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ext">
    <w:name w:val="Abstract Text"/>
    <w:basedOn w:val="Normal"/>
    <w:uiPriority w:val="2"/>
    <w:rsid w:val="007D70A5"/>
    <w:pPr>
      <w:spacing w:after="100" w:afterAutospacing="1" w:line="480" w:lineRule="auto"/>
      <w:ind w:firstLine="284"/>
      <w:jc w:val="both"/>
    </w:pPr>
    <w:rPr>
      <w:rFonts w:ascii="Times New Roman" w:eastAsiaTheme="minorEastAsia" w:hAnsi="Times New Roman"/>
      <w:kern w:val="0"/>
      <w:sz w:val="24"/>
      <w:lang w:val="en-GB"/>
      <w14:ligatures w14:val="none"/>
    </w:rPr>
  </w:style>
  <w:style w:type="paragraph" w:customStyle="1" w:styleId="2">
    <w:name w:val="2 저자성명"/>
    <w:basedOn w:val="Normal"/>
    <w:qFormat/>
    <w:rsid w:val="007D70A5"/>
    <w:pPr>
      <w:widowControl w:val="0"/>
      <w:wordWrap w:val="0"/>
      <w:autoSpaceDE w:val="0"/>
      <w:autoSpaceDN w:val="0"/>
      <w:spacing w:beforeLines="100" w:afterLines="100" w:after="0" w:line="276" w:lineRule="auto"/>
      <w:jc w:val="center"/>
    </w:pPr>
    <w:rPr>
      <w:rFonts w:ascii="Times New Roman" w:eastAsia="Times New Roman" w:hAnsi="Times New Roman" w:cs="Times New Roman"/>
      <w:b/>
      <w:sz w:val="21"/>
      <w:szCs w:val="20"/>
      <w:lang w:val="en-US" w:eastAsia="ko-KR"/>
      <w14:ligatures w14:val="none"/>
    </w:rPr>
  </w:style>
  <w:style w:type="character" w:styleId="Hyperlink">
    <w:name w:val="Hyperlink"/>
    <w:basedOn w:val="DefaultParagraphFont"/>
    <w:uiPriority w:val="99"/>
    <w:unhideWhenUsed/>
    <w:rsid w:val="00EB61FB"/>
    <w:rPr>
      <w:color w:val="0563C1" w:themeColor="hyperlink"/>
      <w:u w:val="single"/>
    </w:rPr>
  </w:style>
  <w:style w:type="character" w:styleId="UnresolvedMention">
    <w:name w:val="Unresolved Mention"/>
    <w:basedOn w:val="DefaultParagraphFont"/>
    <w:uiPriority w:val="99"/>
    <w:semiHidden/>
    <w:unhideWhenUsed/>
    <w:rsid w:val="00EB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 </cp:lastModifiedBy>
  <cp:revision>16</cp:revision>
  <cp:lastPrinted>2023-05-01T13:55:00Z</cp:lastPrinted>
  <dcterms:created xsi:type="dcterms:W3CDTF">2023-12-23T05:28:00Z</dcterms:created>
  <dcterms:modified xsi:type="dcterms:W3CDTF">2024-01-02T09:32:00Z</dcterms:modified>
</cp:coreProperties>
</file>